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9A2D89" w:rsidRDefault="007C786D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7C786D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7728">
            <v:imagedata r:id="rId5" o:title=""/>
            <w10:wrap type="square" side="left"/>
          </v:shape>
          <o:OLEObject Type="Embed" ProgID="CorelDRAW.Graphic.6" ShapeID="_x0000_s1026" DrawAspect="Content" ObjectID="_1514524154" r:id="rId6"/>
        </w:pi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E9760E" w:rsidRDefault="00E9760E" w:rsidP="00E9760E">
      <w:pPr>
        <w:rPr>
          <w:rtl/>
        </w:rPr>
      </w:pPr>
    </w:p>
    <w:p w:rsidR="00D75B77" w:rsidRDefault="00E269B7" w:rsidP="00791B12">
      <w:pPr>
        <w:pStyle w:val="mnormal"/>
        <w:jc w:val="right"/>
        <w:rPr>
          <w:rFonts w:hint="cs"/>
          <w:rtl/>
        </w:rPr>
      </w:pPr>
      <w:r>
        <w:rPr>
          <w:rFonts w:hint="cs"/>
          <w:rtl/>
        </w:rPr>
        <w:t>17 בינואר 2016</w:t>
      </w:r>
    </w:p>
    <w:p w:rsidR="00131301" w:rsidRDefault="00D75B77" w:rsidP="00131301">
      <w:pPr>
        <w:pStyle w:val="mnormal"/>
        <w:jc w:val="left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D75B77" w:rsidRDefault="00D75B77" w:rsidP="00131301">
      <w:pPr>
        <w:pStyle w:val="mnormal"/>
        <w:jc w:val="left"/>
        <w:rPr>
          <w:rtl/>
        </w:rPr>
      </w:pPr>
      <w:r>
        <w:rPr>
          <w:rFonts w:hint="cs"/>
          <w:rtl/>
        </w:rPr>
        <w:t>לכבוד</w:t>
      </w:r>
      <w:r w:rsidR="00A10032">
        <w:rPr>
          <w:rFonts w:hint="cs"/>
          <w:rtl/>
        </w:rPr>
        <w:br/>
      </w:r>
    </w:p>
    <w:p w:rsidR="00131301" w:rsidRDefault="00131301" w:rsidP="00131301">
      <w:pPr>
        <w:pStyle w:val="mnormal"/>
        <w:jc w:val="left"/>
        <w:rPr>
          <w:rtl/>
        </w:rPr>
      </w:pPr>
      <w:r>
        <w:rPr>
          <w:rtl/>
        </w:rPr>
        <w:t>__________</w:t>
      </w:r>
    </w:p>
    <w:p w:rsidR="00131301" w:rsidRDefault="00131301" w:rsidP="00131301">
      <w:pPr>
        <w:rPr>
          <w:rFonts w:ascii="Arial" w:hAnsi="Arial" w:hint="cs"/>
          <w:rtl/>
        </w:rPr>
      </w:pPr>
    </w:p>
    <w:p w:rsidR="00131301" w:rsidRDefault="00131301" w:rsidP="00131301">
      <w:pPr>
        <w:pStyle w:val="mnormal"/>
        <w:jc w:val="left"/>
        <w:rPr>
          <w:rtl/>
        </w:rPr>
      </w:pPr>
      <w:r>
        <w:rPr>
          <w:rtl/>
        </w:rPr>
        <w:t>א.</w:t>
      </w:r>
      <w:r>
        <w:rPr>
          <w:rFonts w:hint="cs"/>
          <w:rtl/>
        </w:rPr>
        <w:t>ג.</w:t>
      </w:r>
      <w:r>
        <w:rPr>
          <w:rtl/>
        </w:rPr>
        <w:t>נ.,</w:t>
      </w:r>
    </w:p>
    <w:p w:rsidR="00131301" w:rsidRDefault="00131301" w:rsidP="00131301">
      <w:pPr>
        <w:rPr>
          <w:rFonts w:ascii="Arial" w:hAnsi="Arial" w:hint="cs"/>
          <w:rtl/>
        </w:rPr>
      </w:pPr>
    </w:p>
    <w:tbl>
      <w:tblPr>
        <w:bidiVisual/>
        <w:tblW w:w="6812" w:type="dxa"/>
        <w:jc w:val="center"/>
        <w:tblLayout w:type="fixed"/>
        <w:tblLook w:val="0000"/>
      </w:tblPr>
      <w:tblGrid>
        <w:gridCol w:w="886"/>
        <w:gridCol w:w="5926"/>
      </w:tblGrid>
      <w:tr w:rsidR="00131301" w:rsidRPr="00995FA4" w:rsidTr="00AA7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6" w:type="dxa"/>
          </w:tcPr>
          <w:p w:rsidR="00131301" w:rsidRPr="00995FA4" w:rsidRDefault="00131301" w:rsidP="00131301">
            <w:pPr>
              <w:pStyle w:val="mnormal"/>
              <w:jc w:val="left"/>
              <w:rPr>
                <w:kern w:val="16"/>
                <w:u w:val="single"/>
                <w:rtl/>
              </w:rPr>
            </w:pPr>
            <w:r w:rsidRPr="00995FA4">
              <w:rPr>
                <w:kern w:val="16"/>
                <w:rtl/>
              </w:rPr>
              <w:t>הנדון:</w:t>
            </w:r>
          </w:p>
        </w:tc>
        <w:tc>
          <w:tcPr>
            <w:tcW w:w="5926" w:type="dxa"/>
          </w:tcPr>
          <w:p w:rsidR="00131301" w:rsidRPr="002A12C6" w:rsidRDefault="00131301" w:rsidP="00E269B7">
            <w:pPr>
              <w:pStyle w:val="mnormal"/>
              <w:jc w:val="left"/>
              <w:rPr>
                <w:rFonts w:ascii="Arial" w:hAnsi="Arial"/>
                <w:b/>
                <w:bCs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u w:val="single"/>
                <w:rtl/>
              </w:rPr>
              <w:t>נוהל מכירה מוקדמת של</w:t>
            </w:r>
            <w:r w:rsidRPr="002A12C6">
              <w:rPr>
                <w:rFonts w:ascii="Arial" w:hAnsi="Arial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u w:val="single"/>
                <w:rtl/>
              </w:rPr>
              <w:t xml:space="preserve">סיבי </w:t>
            </w:r>
            <w:r w:rsidRPr="002A12C6">
              <w:rPr>
                <w:rFonts w:ascii="Arial" w:hAnsi="Arial" w:hint="cs"/>
                <w:b/>
                <w:bCs/>
                <w:u w:val="single"/>
                <w:rtl/>
              </w:rPr>
              <w:t xml:space="preserve">כותנה בעונת </w:t>
            </w:r>
            <w:r w:rsidR="00E269B7">
              <w:rPr>
                <w:rFonts w:ascii="Arial" w:hAnsi="Arial" w:hint="cs"/>
                <w:b/>
                <w:bCs/>
                <w:u w:val="single"/>
                <w:rtl/>
              </w:rPr>
              <w:t>2016</w:t>
            </w:r>
            <w:r w:rsidR="00E269B7" w:rsidRPr="002A12C6">
              <w:rPr>
                <w:rFonts w:ascii="Arial" w:hAnsi="Arial" w:hint="cs"/>
                <w:b/>
                <w:bCs/>
                <w:u w:val="single"/>
                <w:rtl/>
              </w:rPr>
              <w:t xml:space="preserve"> </w:t>
            </w:r>
          </w:p>
        </w:tc>
      </w:tr>
    </w:tbl>
    <w:p w:rsidR="00131301" w:rsidRPr="0084256E" w:rsidRDefault="00131301" w:rsidP="00131301">
      <w:pPr>
        <w:pStyle w:val="a3"/>
        <w:ind w:left="0"/>
        <w:jc w:val="left"/>
        <w:rPr>
          <w:rFonts w:ascii="Arial" w:hAnsi="Arial"/>
          <w:rtl/>
        </w:rPr>
      </w:pPr>
    </w:p>
    <w:p w:rsidR="00131301" w:rsidRDefault="00131301" w:rsidP="00131301">
      <w:pPr>
        <w:pStyle w:val="mnormal"/>
        <w:jc w:val="left"/>
        <w:rPr>
          <w:rFonts w:ascii="Arial" w:hAnsi="Arial" w:hint="cs"/>
          <w:rtl/>
        </w:rPr>
      </w:pPr>
      <w:r w:rsidRPr="00DD6AEF">
        <w:rPr>
          <w:rFonts w:ascii="Arial" w:hAnsi="Arial"/>
          <w:rtl/>
        </w:rPr>
        <w:t>המועצה לייצור ושיווק כותנה בע"מ</w:t>
      </w:r>
      <w:r>
        <w:rPr>
          <w:rFonts w:ascii="Arial" w:hAnsi="Arial" w:hint="cs"/>
          <w:rtl/>
        </w:rPr>
        <w:t xml:space="preserve"> ("</w:t>
      </w:r>
      <w:r w:rsidRPr="004B07D2">
        <w:rPr>
          <w:rFonts w:ascii="Arial" w:hAnsi="Arial" w:hint="cs"/>
          <w:b/>
          <w:bCs/>
          <w:rtl/>
        </w:rPr>
        <w:t>ה</w:t>
      </w:r>
      <w:r>
        <w:rPr>
          <w:rFonts w:ascii="Arial" w:hAnsi="Arial" w:hint="cs"/>
          <w:b/>
          <w:bCs/>
          <w:rtl/>
        </w:rPr>
        <w:t>מועצה</w:t>
      </w:r>
      <w:r>
        <w:rPr>
          <w:rFonts w:ascii="Arial" w:hAnsi="Arial" w:hint="cs"/>
          <w:rtl/>
        </w:rPr>
        <w:t>")</w:t>
      </w:r>
      <w:r w:rsidRPr="00DD6AEF">
        <w:rPr>
          <w:rFonts w:ascii="Arial" w:hAnsi="Arial"/>
          <w:rtl/>
        </w:rPr>
        <w:t xml:space="preserve"> מזמינה בזה </w:t>
      </w:r>
      <w:r>
        <w:rPr>
          <w:rFonts w:ascii="Arial" w:hAnsi="Arial" w:hint="cs"/>
          <w:rtl/>
        </w:rPr>
        <w:t xml:space="preserve">מגדלים להציע הצעות למכירה מוקדמת של סיבי </w:t>
      </w:r>
      <w:r w:rsidRPr="00DD6AEF">
        <w:rPr>
          <w:rFonts w:ascii="Arial" w:hAnsi="Arial"/>
          <w:rtl/>
        </w:rPr>
        <w:t>כותנה</w:t>
      </w:r>
      <w:r>
        <w:rPr>
          <w:rFonts w:ascii="Arial" w:hAnsi="Arial" w:hint="cs"/>
          <w:rtl/>
        </w:rPr>
        <w:t xml:space="preserve">. </w:t>
      </w:r>
    </w:p>
    <w:p w:rsidR="00131301" w:rsidRDefault="00131301" w:rsidP="00131301">
      <w:pPr>
        <w:pStyle w:val="mnormal"/>
        <w:jc w:val="left"/>
        <w:rPr>
          <w:rFonts w:ascii="Arial" w:hAnsi="Arial" w:hint="cs"/>
          <w:rtl/>
        </w:rPr>
      </w:pPr>
    </w:p>
    <w:p w:rsidR="00131301" w:rsidRPr="00DD6AEF" w:rsidRDefault="00131301" w:rsidP="00E269B7">
      <w:pPr>
        <w:pStyle w:val="mnormal"/>
        <w:jc w:val="left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המכירה המוקדמת תתבצע עד ליום </w:t>
      </w:r>
      <w:r w:rsidR="009B6006">
        <w:rPr>
          <w:rFonts w:ascii="Arial" w:hAnsi="Arial" w:hint="cs"/>
          <w:rtl/>
        </w:rPr>
        <w:t xml:space="preserve">30 </w:t>
      </w:r>
      <w:r w:rsidR="003A44DF">
        <w:rPr>
          <w:rFonts w:ascii="Arial" w:hAnsi="Arial" w:hint="cs"/>
          <w:rtl/>
        </w:rPr>
        <w:t>באפריל</w:t>
      </w:r>
      <w:r>
        <w:rPr>
          <w:rFonts w:ascii="Arial" w:hAnsi="Arial" w:hint="cs"/>
          <w:rtl/>
        </w:rPr>
        <w:t xml:space="preserve">, </w:t>
      </w:r>
      <w:r w:rsidR="004428B8">
        <w:rPr>
          <w:rFonts w:ascii="Arial" w:hAnsi="Arial" w:hint="cs"/>
          <w:rtl/>
        </w:rPr>
        <w:t>201</w:t>
      </w:r>
      <w:r w:rsidR="00E269B7">
        <w:rPr>
          <w:rFonts w:ascii="Arial" w:hAnsi="Arial" w:hint="cs"/>
          <w:rtl/>
        </w:rPr>
        <w:t>6</w:t>
      </w:r>
      <w:r>
        <w:rPr>
          <w:rFonts w:ascii="Arial" w:hAnsi="Arial" w:hint="cs"/>
          <w:rtl/>
        </w:rPr>
        <w:t>, ("</w:t>
      </w:r>
      <w:r w:rsidRPr="00B20878">
        <w:rPr>
          <w:rFonts w:ascii="Arial" w:hAnsi="Arial" w:hint="cs"/>
          <w:b/>
          <w:bCs/>
          <w:rtl/>
        </w:rPr>
        <w:t>תקופת המכירה המוקדמת</w:t>
      </w:r>
      <w:r>
        <w:rPr>
          <w:rFonts w:ascii="Arial" w:hAnsi="Arial" w:hint="cs"/>
          <w:rtl/>
        </w:rPr>
        <w:t xml:space="preserve">"). </w:t>
      </w:r>
      <w:r w:rsidR="003A1CED">
        <w:rPr>
          <w:rFonts w:ascii="Arial" w:hAnsi="Arial"/>
          <w:rtl/>
        </w:rPr>
        <w:br/>
      </w:r>
      <w:r>
        <w:rPr>
          <w:rFonts w:ascii="Arial" w:hAnsi="Arial" w:hint="cs"/>
          <w:rtl/>
        </w:rPr>
        <w:t xml:space="preserve">החל מיום </w:t>
      </w:r>
      <w:r w:rsidR="009B6006">
        <w:rPr>
          <w:rFonts w:ascii="Arial" w:hAnsi="Arial" w:hint="cs"/>
          <w:rtl/>
        </w:rPr>
        <w:t xml:space="preserve">30 </w:t>
      </w:r>
      <w:r>
        <w:rPr>
          <w:rFonts w:ascii="Arial" w:hAnsi="Arial" w:hint="cs"/>
          <w:rtl/>
        </w:rPr>
        <w:t xml:space="preserve">באפריל </w:t>
      </w:r>
      <w:r w:rsidR="004428B8">
        <w:rPr>
          <w:rFonts w:ascii="Arial" w:hAnsi="Arial" w:hint="cs"/>
          <w:rtl/>
        </w:rPr>
        <w:t>201</w:t>
      </w:r>
      <w:r w:rsidR="00E269B7">
        <w:rPr>
          <w:rFonts w:ascii="Arial" w:hAnsi="Arial" w:hint="cs"/>
          <w:rtl/>
        </w:rPr>
        <w:t>6</w:t>
      </w:r>
      <w:r>
        <w:rPr>
          <w:rFonts w:ascii="Arial" w:hAnsi="Arial" w:hint="cs"/>
          <w:rtl/>
        </w:rPr>
        <w:t xml:space="preserve">, מכירות סיבי הכותנה לעונת </w:t>
      </w:r>
      <w:r w:rsidR="004428B8">
        <w:rPr>
          <w:rFonts w:ascii="Arial" w:hAnsi="Arial" w:hint="cs"/>
          <w:rtl/>
        </w:rPr>
        <w:t>201</w:t>
      </w:r>
      <w:r w:rsidR="00E269B7">
        <w:rPr>
          <w:rFonts w:ascii="Arial" w:hAnsi="Arial" w:hint="cs"/>
          <w:rtl/>
        </w:rPr>
        <w:t>6</w:t>
      </w:r>
      <w:r w:rsidR="004428B8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יתבצעו במסגרת הפול העונתי.</w:t>
      </w:r>
    </w:p>
    <w:p w:rsidR="00131301" w:rsidRPr="00DD6AEF" w:rsidRDefault="00131301" w:rsidP="00131301">
      <w:pPr>
        <w:pStyle w:val="a5"/>
        <w:ind w:right="0"/>
        <w:jc w:val="left"/>
        <w:rPr>
          <w:rFonts w:ascii="Arial" w:hAnsi="Arial"/>
          <w:rtl/>
        </w:rPr>
      </w:pPr>
    </w:p>
    <w:p w:rsidR="00131301" w:rsidRPr="00DD6AEF" w:rsidRDefault="00131301" w:rsidP="00BE630B">
      <w:pPr>
        <w:pStyle w:val="a5"/>
        <w:ind w:right="0" w:firstLine="0"/>
        <w:jc w:val="left"/>
        <w:rPr>
          <w:rFonts w:ascii="Arial" w:hAnsi="Arial" w:hint="cs"/>
          <w:rtl/>
        </w:rPr>
      </w:pPr>
      <w:r>
        <w:rPr>
          <w:rFonts w:ascii="Arial" w:hAnsi="Arial" w:hint="cs"/>
          <w:rtl/>
        </w:rPr>
        <w:t xml:space="preserve">מעת לעת במהלך תקופת המכירה המוקדמת </w:t>
      </w:r>
      <w:r w:rsidR="00BE630B">
        <w:rPr>
          <w:rFonts w:ascii="Arial" w:hAnsi="Arial" w:hint="cs"/>
          <w:rtl/>
        </w:rPr>
        <w:t xml:space="preserve">רשאית </w:t>
      </w:r>
      <w:r>
        <w:rPr>
          <w:rFonts w:ascii="Arial" w:hAnsi="Arial" w:hint="cs"/>
          <w:rtl/>
        </w:rPr>
        <w:t xml:space="preserve">המועצה </w:t>
      </w:r>
      <w:r w:rsidR="00BE630B">
        <w:rPr>
          <w:rFonts w:ascii="Arial" w:hAnsi="Arial" w:hint="cs"/>
          <w:rtl/>
        </w:rPr>
        <w:t xml:space="preserve">לפרסם </w:t>
      </w:r>
      <w:r>
        <w:rPr>
          <w:rFonts w:ascii="Arial" w:hAnsi="Arial" w:hint="cs"/>
          <w:rtl/>
        </w:rPr>
        <w:t xml:space="preserve">הזמנה למגדלים להציע הצעות למכירת סיבי כותנה </w:t>
      </w:r>
      <w:r w:rsidRPr="00261106">
        <w:rPr>
          <w:rFonts w:ascii="Arial" w:hAnsi="Arial" w:hint="cs"/>
          <w:rtl/>
        </w:rPr>
        <w:t xml:space="preserve">ללקוחות </w:t>
      </w:r>
      <w:r>
        <w:rPr>
          <w:rFonts w:ascii="Arial" w:hAnsi="Arial" w:hint="cs"/>
          <w:rtl/>
        </w:rPr>
        <w:t>באמצעות המועצה, וזאת במחיר מינימום שיפורסם לפי זנים לאיכות הבסיס ("</w:t>
      </w:r>
      <w:r w:rsidRPr="00B20878">
        <w:rPr>
          <w:rFonts w:ascii="Arial" w:hAnsi="Arial" w:hint="cs"/>
          <w:b/>
          <w:bCs/>
          <w:rtl/>
        </w:rPr>
        <w:t>ההזמנה</w:t>
      </w:r>
      <w:r>
        <w:rPr>
          <w:rFonts w:ascii="Arial" w:hAnsi="Arial" w:hint="cs"/>
          <w:rtl/>
        </w:rPr>
        <w:t>"). ההזמנה תעמוד בתקפה לתקופה מוגבלת כפי שיפורסם בהזמנה</w:t>
      </w:r>
      <w:r w:rsidRPr="00DA14BC"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("</w:t>
      </w:r>
      <w:r w:rsidRPr="00B20878">
        <w:rPr>
          <w:rFonts w:ascii="Arial" w:hAnsi="Arial" w:hint="cs"/>
          <w:b/>
          <w:bCs/>
          <w:rtl/>
        </w:rPr>
        <w:t xml:space="preserve">תקופת </w:t>
      </w:r>
      <w:r>
        <w:rPr>
          <w:rFonts w:ascii="Arial" w:hAnsi="Arial" w:hint="cs"/>
          <w:b/>
          <w:bCs/>
          <w:rtl/>
        </w:rPr>
        <w:t>ההזמנה</w:t>
      </w:r>
      <w:r>
        <w:rPr>
          <w:rFonts w:ascii="Arial" w:hAnsi="Arial" w:hint="cs"/>
          <w:rtl/>
        </w:rPr>
        <w:t xml:space="preserve">"). במהלך תקופת ההזמנה כל </w:t>
      </w:r>
      <w:r w:rsidRPr="00DD6AEF">
        <w:rPr>
          <w:rFonts w:ascii="Arial" w:hAnsi="Arial"/>
          <w:rtl/>
        </w:rPr>
        <w:t>מ</w:t>
      </w:r>
      <w:r>
        <w:rPr>
          <w:rFonts w:ascii="Arial" w:hAnsi="Arial" w:hint="cs"/>
          <w:rtl/>
        </w:rPr>
        <w:t>גדל</w:t>
      </w:r>
      <w:r w:rsidRPr="00DD6AEF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יהא רשאי להציע למועצה למכור באמצעותה כמויות סיבי הכותנה לפי זנים במחיר המינימום כפי שיפורסם על גבי טופס ההצעה המצ"ב ("</w:t>
      </w:r>
      <w:r w:rsidRPr="00B20878">
        <w:rPr>
          <w:rFonts w:ascii="Arial" w:hAnsi="Arial" w:hint="cs"/>
          <w:b/>
          <w:bCs/>
          <w:rtl/>
        </w:rPr>
        <w:t>ההצעה</w:t>
      </w:r>
      <w:r>
        <w:rPr>
          <w:rFonts w:ascii="Arial" w:hAnsi="Arial" w:hint="cs"/>
          <w:rtl/>
        </w:rPr>
        <w:t>").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</w:p>
    <w:p w:rsidR="00131301" w:rsidRPr="00DA14BC" w:rsidRDefault="00131301" w:rsidP="00131301">
      <w:pPr>
        <w:pStyle w:val="a5"/>
        <w:ind w:right="0" w:firstLine="0"/>
        <w:jc w:val="left"/>
        <w:rPr>
          <w:rFonts w:ascii="Arial" w:hAnsi="Arial" w:hint="cs"/>
          <w:b/>
          <w:bCs/>
          <w:i/>
          <w:iCs/>
          <w:rtl/>
        </w:rPr>
      </w:pPr>
      <w:r>
        <w:rPr>
          <w:rFonts w:ascii="Arial" w:hAnsi="Arial" w:hint="cs"/>
          <w:rtl/>
        </w:rPr>
        <w:t xml:space="preserve">יובהר כי במקרה בו כמות סיבי הכותנה המוצעת למכירה על ידי כל המגדלים במשותף תהא גדולה מהכמות </w:t>
      </w:r>
      <w:r w:rsidRPr="00F7734C">
        <w:rPr>
          <w:rFonts w:ascii="Arial" w:hAnsi="Arial" w:hint="cs"/>
          <w:rtl/>
        </w:rPr>
        <w:t>שנמכרה</w:t>
      </w:r>
      <w:r>
        <w:rPr>
          <w:rFonts w:ascii="Arial" w:hAnsi="Arial" w:hint="cs"/>
          <w:rtl/>
        </w:rPr>
        <w:t xml:space="preserve">, המועצה, על פי שיקול דעתה הבלעדי, תחלק את כמות סיבי הכותנה הנמכרת באופן יחסי לכמות סיבי הכותנה שהוצעה לה על ידי כל מגדל. 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</w:p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  <w:r>
        <w:rPr>
          <w:rFonts w:hint="cs"/>
          <w:rtl/>
        </w:rPr>
        <w:t xml:space="preserve">ניתן להציע כמויות במדרגות של </w:t>
      </w:r>
      <w:r w:rsidRPr="00DA14BC">
        <w:rPr>
          <w:rFonts w:hint="cs"/>
          <w:rtl/>
        </w:rPr>
        <w:t>5</w:t>
      </w:r>
      <w:r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טון.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  <w:r>
        <w:rPr>
          <w:rFonts w:ascii="Arial" w:hAnsi="Arial" w:hint="cs"/>
          <w:rtl/>
        </w:rPr>
        <w:t xml:space="preserve">כל מגדל יתחייב לגדל כותנה </w:t>
      </w:r>
      <w:r w:rsidRPr="00DA14BC">
        <w:rPr>
          <w:rFonts w:ascii="Arial" w:hAnsi="Arial" w:hint="cs"/>
          <w:rtl/>
        </w:rPr>
        <w:t>ולשווקה באמצעות המועצה</w:t>
      </w:r>
      <w:r>
        <w:rPr>
          <w:rFonts w:ascii="Arial" w:hAnsi="Arial" w:hint="cs"/>
          <w:rtl/>
        </w:rPr>
        <w:t xml:space="preserve"> לפי הכמות שהתחייב למכור על פי הצעתו המאושרת, כדלקמן:</w:t>
      </w:r>
    </w:p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</w:p>
    <w:tbl>
      <w:tblPr>
        <w:bidiVisual/>
        <w:tblW w:w="0" w:type="auto"/>
        <w:tblLook w:val="01E0"/>
      </w:tblPr>
      <w:tblGrid>
        <w:gridCol w:w="914"/>
        <w:gridCol w:w="2528"/>
      </w:tblGrid>
      <w:tr w:rsidR="00F207EB" w:rsidTr="00696448">
        <w:tc>
          <w:tcPr>
            <w:tcW w:w="0" w:type="auto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פימה-</w:t>
            </w:r>
          </w:p>
        </w:tc>
        <w:tc>
          <w:tcPr>
            <w:tcW w:w="2528" w:type="dxa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 דונם לטון סיבים</w:t>
            </w:r>
          </w:p>
        </w:tc>
      </w:tr>
      <w:tr w:rsidR="00F207EB" w:rsidTr="00696448">
        <w:tc>
          <w:tcPr>
            <w:tcW w:w="0" w:type="auto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</w:p>
        </w:tc>
        <w:tc>
          <w:tcPr>
            <w:tcW w:w="2528" w:type="dxa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</w:p>
        </w:tc>
      </w:tr>
      <w:tr w:rsidR="00F207EB" w:rsidTr="00696448">
        <w:tc>
          <w:tcPr>
            <w:tcW w:w="0" w:type="auto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אקלפי-</w:t>
            </w:r>
          </w:p>
        </w:tc>
        <w:tc>
          <w:tcPr>
            <w:tcW w:w="2528" w:type="dxa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דונם לטון סיבים</w:t>
            </w:r>
          </w:p>
        </w:tc>
      </w:tr>
    </w:tbl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</w:p>
    <w:p w:rsidR="004A21FD" w:rsidRPr="00B459B1" w:rsidRDefault="00131301" w:rsidP="00587FDF">
      <w:pPr>
        <w:pStyle w:val="a5"/>
        <w:ind w:right="0" w:firstLine="0"/>
        <w:jc w:val="left"/>
        <w:rPr>
          <w:rFonts w:ascii="Arial" w:hAnsi="Arial"/>
        </w:rPr>
      </w:pPr>
      <w:r w:rsidRPr="00B459B1">
        <w:rPr>
          <w:rFonts w:ascii="Arial" w:hAnsi="Arial" w:hint="cs"/>
          <w:rtl/>
        </w:rPr>
        <w:t xml:space="preserve">המחיר למגדלים יהיה על פי מחיר המכירה לאיכות בסיס כפי </w:t>
      </w:r>
      <w:r w:rsidR="00F91BB6">
        <w:rPr>
          <w:rFonts w:ascii="Arial" w:hAnsi="Arial" w:hint="cs"/>
          <w:rtl/>
        </w:rPr>
        <w:t>שנמכר</w:t>
      </w:r>
      <w:r w:rsidR="00F91BB6" w:rsidRPr="00B459B1">
        <w:rPr>
          <w:rFonts w:ascii="Arial" w:hAnsi="Arial" w:hint="cs"/>
          <w:rtl/>
        </w:rPr>
        <w:t xml:space="preserve"> </w:t>
      </w:r>
      <w:r w:rsidRPr="00B459B1">
        <w:rPr>
          <w:rFonts w:ascii="Arial" w:hAnsi="Arial" w:hint="cs"/>
          <w:rtl/>
        </w:rPr>
        <w:t xml:space="preserve">בפועל </w:t>
      </w:r>
      <w:r w:rsidR="00F91BB6">
        <w:rPr>
          <w:rFonts w:ascii="Arial" w:hAnsi="Arial" w:hint="cs"/>
          <w:rtl/>
        </w:rPr>
        <w:t>ע"י</w:t>
      </w:r>
      <w:r w:rsidR="00F91BB6" w:rsidRPr="00B459B1">
        <w:rPr>
          <w:rFonts w:ascii="Arial" w:hAnsi="Arial" w:hint="cs"/>
          <w:rtl/>
        </w:rPr>
        <w:t xml:space="preserve"> </w:t>
      </w:r>
      <w:r w:rsidRPr="00B459B1">
        <w:rPr>
          <w:rFonts w:ascii="Arial" w:hAnsi="Arial" w:hint="cs"/>
          <w:rtl/>
        </w:rPr>
        <w:t>המועצה</w:t>
      </w:r>
      <w:r w:rsidR="00587FDF">
        <w:rPr>
          <w:rFonts w:ascii="Arial" w:hAnsi="Arial" w:hint="cs"/>
          <w:rtl/>
        </w:rPr>
        <w:t>.</w:t>
      </w:r>
      <w:r w:rsidRPr="00B459B1">
        <w:rPr>
          <w:rFonts w:ascii="Arial" w:hAnsi="Arial" w:hint="cs"/>
          <w:rtl/>
        </w:rPr>
        <w:t xml:space="preserve"> </w:t>
      </w:r>
      <w:r w:rsidR="00F91BB6">
        <w:rPr>
          <w:rFonts w:ascii="Arial" w:hAnsi="Arial" w:hint="cs"/>
          <w:rtl/>
        </w:rPr>
        <w:t>המועצה לא תמכור במחיר הנמוך ממחיר המינימום לעיל</w:t>
      </w:r>
      <w:r w:rsidRPr="00B459B1">
        <w:rPr>
          <w:rFonts w:ascii="Arial" w:hAnsi="Arial" w:hint="cs"/>
          <w:rtl/>
        </w:rPr>
        <w:t xml:space="preserve">. התשלום למגדלים יועבר </w:t>
      </w:r>
      <w:r w:rsidR="00D03CDB" w:rsidRPr="00B459B1">
        <w:rPr>
          <w:rFonts w:ascii="Arial" w:hAnsi="Arial" w:hint="cs"/>
          <w:rtl/>
        </w:rPr>
        <w:t xml:space="preserve">במסגרת הפול הכללי </w:t>
      </w:r>
      <w:r w:rsidRPr="00B459B1">
        <w:rPr>
          <w:rFonts w:ascii="Arial" w:hAnsi="Arial" w:hint="cs"/>
          <w:rtl/>
        </w:rPr>
        <w:t>לאחר קבלת התמורות בפועל לידי המועצה</w:t>
      </w:r>
      <w:r w:rsidR="00B459B1" w:rsidRPr="00B459B1">
        <w:rPr>
          <w:rFonts w:ascii="Arial" w:hAnsi="Arial"/>
          <w:rtl/>
        </w:rPr>
        <w:t xml:space="preserve">. </w:t>
      </w:r>
      <w:r w:rsidR="004A21FD" w:rsidRPr="00B459B1">
        <w:rPr>
          <w:rFonts w:ascii="Arial" w:hAnsi="Arial"/>
          <w:rtl/>
        </w:rPr>
        <w:t xml:space="preserve">המגדל יישא בחשיפה הנובעת </w:t>
      </w:r>
      <w:r w:rsidR="004A21FD">
        <w:rPr>
          <w:rFonts w:ascii="Arial" w:hAnsi="Arial" w:hint="cs"/>
          <w:rtl/>
        </w:rPr>
        <w:t>מאי תשלום לידי המועצה.</w:t>
      </w:r>
      <w:r w:rsidR="004A21FD" w:rsidRPr="00B459B1">
        <w:rPr>
          <w:rFonts w:ascii="Arial" w:hAnsi="Arial"/>
          <w:rtl/>
        </w:rPr>
        <w:t xml:space="preserve"> בהתאמה המועצה לא תגבה פרמיית סיכון מהמגדלים.</w:t>
      </w:r>
    </w:p>
    <w:p w:rsidR="003F20D3" w:rsidRDefault="003F20D3" w:rsidP="00131301">
      <w:pPr>
        <w:pStyle w:val="a5"/>
        <w:ind w:right="0" w:firstLine="0"/>
        <w:jc w:val="left"/>
        <w:rPr>
          <w:rFonts w:hint="cs"/>
          <w:rtl/>
        </w:rPr>
      </w:pPr>
    </w:p>
    <w:p w:rsidR="003F20D3" w:rsidRDefault="003F20D3" w:rsidP="00131301">
      <w:pPr>
        <w:pStyle w:val="a5"/>
        <w:ind w:right="0" w:firstLine="0"/>
        <w:jc w:val="left"/>
        <w:rPr>
          <w:rFonts w:hint="cs"/>
          <w:rtl/>
        </w:rPr>
      </w:pPr>
    </w:p>
    <w:p w:rsidR="003F20D3" w:rsidRDefault="003F20D3" w:rsidP="003F20D3">
      <w:pPr>
        <w:pStyle w:val="a5"/>
        <w:ind w:right="0" w:firstLine="0"/>
        <w:jc w:val="center"/>
        <w:rPr>
          <w:rFonts w:hint="cs"/>
          <w:rtl/>
        </w:rPr>
      </w:pPr>
      <w:r w:rsidRPr="003F20D3">
        <w:rPr>
          <w:rFonts w:hint="cs"/>
          <w:rtl/>
        </w:rPr>
        <w:lastRenderedPageBreak/>
        <w:t>-</w:t>
      </w:r>
      <w:r>
        <w:rPr>
          <w:rFonts w:hint="cs"/>
          <w:rtl/>
        </w:rPr>
        <w:t xml:space="preserve">  2  -</w:t>
      </w:r>
    </w:p>
    <w:p w:rsidR="003F20D3" w:rsidRDefault="003F20D3" w:rsidP="00131301">
      <w:pPr>
        <w:pStyle w:val="a5"/>
        <w:ind w:right="0" w:firstLine="0"/>
        <w:jc w:val="left"/>
        <w:rPr>
          <w:rFonts w:hint="cs"/>
          <w:rtl/>
        </w:rPr>
      </w:pPr>
    </w:p>
    <w:p w:rsidR="003F20D3" w:rsidRDefault="003F20D3" w:rsidP="00131301">
      <w:pPr>
        <w:pStyle w:val="a5"/>
        <w:ind w:right="0" w:firstLine="0"/>
        <w:jc w:val="left"/>
        <w:rPr>
          <w:rFonts w:hint="cs"/>
          <w:rtl/>
        </w:rPr>
      </w:pPr>
    </w:p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  <w:r w:rsidRPr="00F7734C">
        <w:rPr>
          <w:rFonts w:hint="cs"/>
          <w:rtl/>
        </w:rPr>
        <w:t>המחיר הנקוב הינו מחיר מכירה וממנו ינוכו הוצאות הפול (הובלה, ביטוח וכו'), וגביה לקרן צבירה, על פי החלטות המועצה.</w:t>
      </w:r>
    </w:p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  <w:r w:rsidRPr="00F7734C">
        <w:rPr>
          <w:rFonts w:hint="cs"/>
          <w:rtl/>
        </w:rPr>
        <w:t xml:space="preserve">הפרש המחיר בין איכויות הבסיס לאיכות בפועל </w:t>
      </w:r>
      <w:r>
        <w:rPr>
          <w:rFonts w:hint="cs"/>
          <w:rtl/>
        </w:rPr>
        <w:t>יחויב/יזוכה ע"י המועצה</w:t>
      </w:r>
      <w:r w:rsidRPr="00F7734C">
        <w:rPr>
          <w:rFonts w:hint="cs"/>
          <w:rtl/>
        </w:rPr>
        <w:t xml:space="preserve"> על פי המקובל במועצה.</w:t>
      </w:r>
      <w:r>
        <w:rPr>
          <w:rFonts w:hint="cs"/>
          <w:rtl/>
        </w:rPr>
        <w:t xml:space="preserve"> </w:t>
      </w:r>
    </w:p>
    <w:p w:rsidR="00131301" w:rsidRPr="00F7734C" w:rsidRDefault="00131301" w:rsidP="00E269B7">
      <w:pPr>
        <w:pStyle w:val="a5"/>
        <w:ind w:right="0" w:firstLine="0"/>
        <w:jc w:val="left"/>
        <w:rPr>
          <w:rFonts w:hint="cs"/>
          <w:rtl/>
        </w:rPr>
      </w:pPr>
      <w:r>
        <w:rPr>
          <w:rFonts w:hint="cs"/>
          <w:rtl/>
        </w:rPr>
        <w:t xml:space="preserve">למרות האמור לעיל, </w:t>
      </w:r>
      <w:r w:rsidRPr="00F7734C">
        <w:rPr>
          <w:rFonts w:hint="cs"/>
          <w:rtl/>
        </w:rPr>
        <w:t xml:space="preserve">במידה </w:t>
      </w:r>
      <w:r>
        <w:rPr>
          <w:rFonts w:hint="cs"/>
          <w:rtl/>
        </w:rPr>
        <w:t>ש</w:t>
      </w:r>
      <w:r w:rsidRPr="00F7734C">
        <w:rPr>
          <w:rFonts w:hint="cs"/>
          <w:rtl/>
        </w:rPr>
        <w:t xml:space="preserve">איכות הכותנה הממוצעת תהיה נמוכה באופן חריג מאיכות הבסיס </w:t>
      </w:r>
      <w:r>
        <w:rPr>
          <w:rFonts w:hint="cs"/>
          <w:rtl/>
        </w:rPr>
        <w:t>(עבור מיונים נמוכים בשיעור העולה על 12% מהיבול,מיון 40 ומטה לפימה ואקלפי), יזוכה המגדל לפי מחיר המכירה בפועל.</w:t>
      </w:r>
    </w:p>
    <w:p w:rsidR="00131301" w:rsidRPr="005B50F7" w:rsidRDefault="00131301" w:rsidP="00131301">
      <w:pPr>
        <w:pStyle w:val="a5"/>
        <w:ind w:right="0" w:firstLine="0"/>
        <w:jc w:val="left"/>
        <w:rPr>
          <w:rFonts w:hint="cs"/>
          <w:color w:val="FF0000"/>
          <w:rtl/>
        </w:rPr>
      </w:pPr>
    </w:p>
    <w:p w:rsidR="00131301" w:rsidRDefault="00131301" w:rsidP="00C378F6">
      <w:pPr>
        <w:pStyle w:val="a5"/>
        <w:ind w:right="0" w:firstLine="0"/>
        <w:jc w:val="left"/>
        <w:rPr>
          <w:rFonts w:hint="cs"/>
          <w:rtl/>
        </w:rPr>
      </w:pPr>
      <w:r w:rsidRPr="00273C53">
        <w:rPr>
          <w:rtl/>
        </w:rPr>
        <w:t xml:space="preserve">את </w:t>
      </w:r>
      <w:r>
        <w:rPr>
          <w:rFonts w:hint="cs"/>
          <w:rtl/>
        </w:rPr>
        <w:t>ההצעות</w:t>
      </w:r>
      <w:r w:rsidRPr="00273C53">
        <w:rPr>
          <w:rtl/>
        </w:rPr>
        <w:t xml:space="preserve"> יש למסור לידי </w:t>
      </w:r>
      <w:r>
        <w:rPr>
          <w:rFonts w:hint="cs"/>
          <w:rtl/>
        </w:rPr>
        <w:t xml:space="preserve">מלי שניצר </w:t>
      </w:r>
      <w:r w:rsidRPr="00273C53">
        <w:rPr>
          <w:rtl/>
        </w:rPr>
        <w:t xml:space="preserve">במשרדי </w:t>
      </w:r>
      <w:r>
        <w:rPr>
          <w:rtl/>
        </w:rPr>
        <w:t>המועצה,</w:t>
      </w:r>
      <w:r>
        <w:rPr>
          <w:rFonts w:hint="cs"/>
          <w:rtl/>
        </w:rPr>
        <w:t xml:space="preserve"> </w:t>
      </w:r>
      <w:r w:rsidRPr="00273C53">
        <w:rPr>
          <w:rtl/>
        </w:rPr>
        <w:t xml:space="preserve">וזאת לא יאוחר </w:t>
      </w:r>
      <w:r w:rsidR="00FD7051">
        <w:rPr>
          <w:rFonts w:hint="cs"/>
          <w:rtl/>
        </w:rPr>
        <w:t>מהיום הקבוע בהצעה.</w:t>
      </w:r>
      <w:r>
        <w:rPr>
          <w:rFonts w:hint="cs"/>
          <w:rtl/>
        </w:rPr>
        <w:t xml:space="preserve"> </w:t>
      </w:r>
      <w:r w:rsidR="00AD46FC">
        <w:rPr>
          <w:rtl/>
        </w:rPr>
        <w:br/>
      </w:r>
      <w:r>
        <w:rPr>
          <w:rFonts w:hint="cs"/>
          <w:rtl/>
        </w:rPr>
        <w:t>ניתן גם לשלוח בדואר רשום ו\או במייל</w:t>
      </w:r>
      <w:r w:rsidR="00C378F6">
        <w:rPr>
          <w:rFonts w:hint="cs"/>
          <w:rtl/>
        </w:rPr>
        <w:t xml:space="preserve">  </w:t>
      </w:r>
      <w:r w:rsidR="00AD46FC">
        <w:t>mali@cotton.co.il</w:t>
      </w:r>
      <w:r w:rsidR="00AD46FC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D97E05">
        <w:rPr>
          <w:rFonts w:hint="cs"/>
          <w:rtl/>
        </w:rPr>
        <w:t>/</w:t>
      </w:r>
      <w:r>
        <w:rPr>
          <w:rFonts w:hint="cs"/>
          <w:rtl/>
        </w:rPr>
        <w:t>או בפקס</w:t>
      </w:r>
      <w:r w:rsidR="00AD46FC">
        <w:rPr>
          <w:rFonts w:hint="cs"/>
          <w:rtl/>
        </w:rPr>
        <w:t xml:space="preserve"> 09-9604010 </w:t>
      </w:r>
      <w:r>
        <w:rPr>
          <w:rFonts w:hint="cs"/>
          <w:rtl/>
        </w:rPr>
        <w:t>, ולווד</w:t>
      </w:r>
      <w:r>
        <w:rPr>
          <w:rFonts w:hint="eastAsia"/>
          <w:rtl/>
        </w:rPr>
        <w:t>א</w:t>
      </w:r>
      <w:r>
        <w:rPr>
          <w:rFonts w:hint="cs"/>
          <w:rtl/>
        </w:rPr>
        <w:t xml:space="preserve"> טלפונית קבלת ההצעה במספר 09-9604003.</w:t>
      </w:r>
    </w:p>
    <w:p w:rsidR="00131301" w:rsidRDefault="00131301" w:rsidP="00131301">
      <w:pPr>
        <w:pStyle w:val="a5"/>
        <w:ind w:right="0" w:firstLine="0"/>
        <w:jc w:val="left"/>
        <w:rPr>
          <w:rFonts w:hint="cs"/>
          <w:rtl/>
        </w:rPr>
      </w:pP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  <w:r w:rsidRPr="00DD6AEF">
        <w:rPr>
          <w:rFonts w:ascii="Arial" w:hAnsi="Arial"/>
          <w:rtl/>
        </w:rPr>
        <w:t>למען הסר ספק מודגש בזאת כי הזמנה זאת אינה ולא תתפרש בשום מקרה כעריכת מכרז ודיני המכרזים לא יחולו על הזמנה זו ועל בחירת המציע</w:t>
      </w:r>
      <w:r>
        <w:rPr>
          <w:rFonts w:ascii="Arial" w:hAnsi="Arial" w:hint="cs"/>
          <w:rtl/>
        </w:rPr>
        <w:t>ים</w:t>
      </w:r>
      <w:r w:rsidRPr="00DD6AEF">
        <w:rPr>
          <w:rFonts w:ascii="Arial" w:hAnsi="Arial"/>
          <w:rtl/>
        </w:rPr>
        <w:t>.</w:t>
      </w: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Default="00131301" w:rsidP="00696B35">
      <w:pPr>
        <w:pStyle w:val="a5"/>
        <w:ind w:right="0" w:firstLine="0"/>
        <w:jc w:val="left"/>
        <w:rPr>
          <w:rFonts w:ascii="Arial" w:hAnsi="Arial" w:hint="cs"/>
          <w:rtl/>
        </w:rPr>
      </w:pPr>
      <w:r w:rsidRPr="00B20878">
        <w:rPr>
          <w:rFonts w:ascii="Arial" w:hAnsi="Arial"/>
          <w:rtl/>
        </w:rPr>
        <w:t>המועצה אינ</w:t>
      </w:r>
      <w:r w:rsidRPr="00B20878">
        <w:rPr>
          <w:rFonts w:ascii="Arial" w:hAnsi="Arial" w:hint="cs"/>
          <w:rtl/>
        </w:rPr>
        <w:t>ה</w:t>
      </w:r>
      <w:r w:rsidRPr="00B20878">
        <w:rPr>
          <w:rFonts w:ascii="Arial" w:hAnsi="Arial"/>
          <w:rtl/>
        </w:rPr>
        <w:t xml:space="preserve"> מחויב</w:t>
      </w:r>
      <w:r w:rsidRPr="00B20878">
        <w:rPr>
          <w:rFonts w:ascii="Arial" w:hAnsi="Arial" w:hint="cs"/>
          <w:rtl/>
        </w:rPr>
        <w:t>ת</w:t>
      </w:r>
      <w:r w:rsidRPr="00B20878">
        <w:rPr>
          <w:rFonts w:ascii="Arial" w:hAnsi="Arial"/>
          <w:rtl/>
        </w:rPr>
        <w:t xml:space="preserve"> לקבל </w:t>
      </w:r>
      <w:r w:rsidRPr="00B20878">
        <w:rPr>
          <w:rFonts w:ascii="Arial" w:hAnsi="Arial" w:hint="cs"/>
          <w:rtl/>
        </w:rPr>
        <w:t xml:space="preserve">הצעה </w:t>
      </w:r>
      <w:r w:rsidRPr="00B20878">
        <w:rPr>
          <w:rFonts w:ascii="Arial" w:hAnsi="Arial"/>
          <w:rtl/>
        </w:rPr>
        <w:t xml:space="preserve">כלשהי </w:t>
      </w:r>
      <w:r w:rsidRPr="00B20878">
        <w:rPr>
          <w:rFonts w:ascii="Arial" w:hAnsi="Arial" w:hint="cs"/>
          <w:rtl/>
        </w:rPr>
        <w:t xml:space="preserve">מהצעות המגדלים </w:t>
      </w:r>
      <w:r w:rsidRPr="00B20878">
        <w:rPr>
          <w:rFonts w:ascii="Arial" w:hAnsi="Arial"/>
          <w:rtl/>
        </w:rPr>
        <w:t>והכרעה בנושא זה נתונה לשיקול דעת</w:t>
      </w:r>
      <w:r w:rsidRPr="00B20878">
        <w:rPr>
          <w:rFonts w:ascii="Arial" w:hAnsi="Arial" w:hint="cs"/>
          <w:rtl/>
        </w:rPr>
        <w:t>ה</w:t>
      </w:r>
      <w:r w:rsidRPr="00B20878">
        <w:rPr>
          <w:rFonts w:ascii="Arial" w:hAnsi="Arial"/>
          <w:rtl/>
        </w:rPr>
        <w:t xml:space="preserve"> הבלעדי והמוחלט של המועצה, מבלי שתהא למ</w:t>
      </w:r>
      <w:r w:rsidRPr="00B20878">
        <w:rPr>
          <w:rFonts w:ascii="Arial" w:hAnsi="Arial" w:hint="cs"/>
          <w:rtl/>
        </w:rPr>
        <w:t>גדל</w:t>
      </w:r>
      <w:r w:rsidRPr="00B20878">
        <w:rPr>
          <w:rFonts w:ascii="Arial" w:hAnsi="Arial"/>
          <w:rtl/>
        </w:rPr>
        <w:t xml:space="preserve"> כל זכות או רשות לערער על שיקולי המועצה או לטעון כנגד</w:t>
      </w:r>
      <w:r w:rsidRPr="00B20878">
        <w:rPr>
          <w:rFonts w:ascii="Arial" w:hAnsi="Arial" w:hint="cs"/>
          <w:rtl/>
        </w:rPr>
        <w:t>ה</w:t>
      </w:r>
      <w:r w:rsidR="00696B35">
        <w:rPr>
          <w:rFonts w:ascii="Arial" w:hAnsi="Arial" w:hint="cs"/>
          <w:rtl/>
        </w:rPr>
        <w:t>.</w:t>
      </w:r>
      <w:r w:rsidRPr="00B20878">
        <w:rPr>
          <w:rFonts w:ascii="Arial" w:hAnsi="Arial"/>
          <w:rtl/>
        </w:rPr>
        <w:t xml:space="preserve"> רואים את ה</w:t>
      </w:r>
      <w:r w:rsidRPr="00B20878">
        <w:rPr>
          <w:rFonts w:ascii="Arial" w:hAnsi="Arial" w:hint="cs"/>
          <w:rtl/>
        </w:rPr>
        <w:t>מגדל</w:t>
      </w:r>
      <w:r w:rsidRPr="00B20878">
        <w:rPr>
          <w:rFonts w:ascii="Arial" w:hAnsi="Arial"/>
          <w:rtl/>
        </w:rPr>
        <w:t xml:space="preserve"> כמסכים מראש להחלטת המועצה בדבר קבלת הצעה כלשהי או דחייתה.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</w:p>
    <w:p w:rsidR="00131301" w:rsidRPr="00CC34FD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  <w:r>
        <w:rPr>
          <w:rFonts w:ascii="Arial" w:hAnsi="Arial" w:hint="cs"/>
          <w:rtl/>
        </w:rPr>
        <w:t>המועצה</w:t>
      </w:r>
      <w:r w:rsidRPr="00CC34FD">
        <w:rPr>
          <w:rFonts w:ascii="Arial" w:hAnsi="Arial" w:hint="cs"/>
          <w:rtl/>
        </w:rPr>
        <w:t xml:space="preserve"> אינ</w:t>
      </w:r>
      <w:r>
        <w:rPr>
          <w:rFonts w:ascii="Arial" w:hAnsi="Arial" w:hint="cs"/>
          <w:rtl/>
        </w:rPr>
        <w:t>ה</w:t>
      </w:r>
      <w:r w:rsidRPr="00CC34FD">
        <w:rPr>
          <w:rFonts w:ascii="Arial" w:hAnsi="Arial" w:hint="cs"/>
          <w:rtl/>
        </w:rPr>
        <w:t xml:space="preserve"> מחויב</w:t>
      </w:r>
      <w:r>
        <w:rPr>
          <w:rFonts w:ascii="Arial" w:hAnsi="Arial" w:hint="cs"/>
          <w:rtl/>
        </w:rPr>
        <w:t>ת</w:t>
      </w:r>
      <w:r w:rsidRPr="00CC34FD">
        <w:rPr>
          <w:rFonts w:ascii="Arial" w:hAnsi="Arial" w:hint="cs"/>
          <w:rtl/>
        </w:rPr>
        <w:t xml:space="preserve"> לנמק את החלטת</w:t>
      </w:r>
      <w:r>
        <w:rPr>
          <w:rFonts w:ascii="Arial" w:hAnsi="Arial" w:hint="cs"/>
          <w:rtl/>
        </w:rPr>
        <w:t>ה</w:t>
      </w:r>
      <w:r w:rsidRPr="00CC34FD">
        <w:rPr>
          <w:rFonts w:ascii="Arial" w:hAnsi="Arial" w:hint="cs"/>
          <w:rtl/>
        </w:rPr>
        <w:t xml:space="preserve"> לבחור במציע זה או אחר, אם יבחר מציע, או שלא לבחור במציע כלשהו.</w:t>
      </w:r>
    </w:p>
    <w:p w:rsidR="00131301" w:rsidRDefault="00131301" w:rsidP="00131301">
      <w:pPr>
        <w:pStyle w:val="First"/>
        <w:bidi/>
        <w:jc w:val="left"/>
        <w:rPr>
          <w:rFonts w:hint="cs"/>
          <w:rtl/>
        </w:rPr>
      </w:pPr>
    </w:p>
    <w:p w:rsidR="00131301" w:rsidRPr="00DA14BC" w:rsidRDefault="00131301" w:rsidP="00131301">
      <w:pPr>
        <w:pStyle w:val="a5"/>
        <w:ind w:right="0" w:firstLine="0"/>
        <w:jc w:val="left"/>
        <w:rPr>
          <w:rFonts w:ascii="Arial" w:hAnsi="Arial" w:hint="cs"/>
          <w:rtl/>
        </w:rPr>
      </w:pPr>
      <w:r w:rsidRPr="00DA14BC">
        <w:rPr>
          <w:rFonts w:ascii="Arial" w:hAnsi="Arial" w:hint="cs"/>
          <w:rtl/>
        </w:rPr>
        <w:t xml:space="preserve"> מובהר כי </w:t>
      </w:r>
      <w:r>
        <w:rPr>
          <w:rFonts w:ascii="Arial" w:hAnsi="Arial" w:hint="cs"/>
          <w:rtl/>
        </w:rPr>
        <w:t xml:space="preserve">הצעה זו כפופה </w:t>
      </w:r>
      <w:r w:rsidRPr="00DA14BC">
        <w:rPr>
          <w:rFonts w:ascii="Arial" w:hAnsi="Arial" w:hint="cs"/>
          <w:rtl/>
        </w:rPr>
        <w:t xml:space="preserve"> לחוז</w:t>
      </w:r>
      <w:r>
        <w:rPr>
          <w:rFonts w:ascii="Arial" w:hAnsi="Arial" w:hint="cs"/>
          <w:rtl/>
        </w:rPr>
        <w:t>ה</w:t>
      </w:r>
      <w:r w:rsidRPr="00DA14BC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</w:t>
      </w:r>
      <w:r w:rsidRPr="00DA14BC">
        <w:rPr>
          <w:rFonts w:ascii="Arial" w:hAnsi="Arial" w:hint="cs"/>
          <w:rtl/>
        </w:rPr>
        <w:t>התקשרות</w:t>
      </w:r>
      <w:r>
        <w:rPr>
          <w:rFonts w:ascii="Arial" w:hAnsi="Arial" w:hint="cs"/>
          <w:rtl/>
        </w:rPr>
        <w:t xml:space="preserve"> הכללי בין המועצה לבין המגדלים.</w:t>
      </w:r>
      <w:r w:rsidRPr="00DA14BC">
        <w:rPr>
          <w:rFonts w:ascii="Arial" w:hAnsi="Arial" w:hint="cs"/>
          <w:rtl/>
        </w:rPr>
        <w:t xml:space="preserve"> </w:t>
      </w:r>
    </w:p>
    <w:p w:rsidR="00131301" w:rsidRDefault="00131301" w:rsidP="00131301">
      <w:pPr>
        <w:pStyle w:val="Second"/>
        <w:bidi/>
        <w:jc w:val="left"/>
        <w:rPr>
          <w:rtl/>
        </w:rPr>
      </w:pPr>
    </w:p>
    <w:p w:rsidR="00131301" w:rsidRDefault="00131301" w:rsidP="00131301">
      <w:pPr>
        <w:pStyle w:val="Second"/>
        <w:bidi/>
        <w:jc w:val="left"/>
        <w:rPr>
          <w:rFonts w:hint="cs"/>
          <w:rtl/>
        </w:rPr>
      </w:pPr>
    </w:p>
    <w:p w:rsidR="00AD46FC" w:rsidRDefault="00AD46FC" w:rsidP="00AD46FC">
      <w:pPr>
        <w:pStyle w:val="Second"/>
        <w:bidi/>
        <w:jc w:val="left"/>
        <w:rPr>
          <w:rFonts w:hint="cs"/>
          <w:rtl/>
        </w:rPr>
      </w:pPr>
    </w:p>
    <w:p w:rsidR="00AD46FC" w:rsidRDefault="00AD46FC" w:rsidP="00AD46FC">
      <w:pPr>
        <w:pStyle w:val="Second"/>
        <w:bidi/>
        <w:jc w:val="left"/>
        <w:rPr>
          <w:rFonts w:hint="cs"/>
          <w:rtl/>
        </w:rPr>
      </w:pPr>
    </w:p>
    <w:p w:rsidR="00AD46FC" w:rsidRDefault="00AD46FC" w:rsidP="00AD46FC">
      <w:pPr>
        <w:pStyle w:val="Second"/>
        <w:bidi/>
        <w:jc w:val="left"/>
        <w:rPr>
          <w:rFonts w:hint="cs"/>
          <w:rtl/>
        </w:rPr>
      </w:pPr>
    </w:p>
    <w:p w:rsidR="00AD46FC" w:rsidRDefault="00AD46FC" w:rsidP="00AD46FC">
      <w:pPr>
        <w:pStyle w:val="Second"/>
        <w:bidi/>
        <w:jc w:val="left"/>
        <w:rPr>
          <w:rFonts w:hint="cs"/>
          <w:rtl/>
        </w:rPr>
      </w:pPr>
    </w:p>
    <w:p w:rsidR="00AD46FC" w:rsidRDefault="00AD46FC" w:rsidP="00AD46FC">
      <w:pPr>
        <w:pStyle w:val="Second"/>
        <w:bidi/>
        <w:jc w:val="left"/>
        <w:rPr>
          <w:rFonts w:hint="cs"/>
          <w:rtl/>
        </w:rPr>
      </w:pPr>
    </w:p>
    <w:p w:rsidR="00131301" w:rsidRDefault="00131301" w:rsidP="00131301">
      <w:pPr>
        <w:pStyle w:val="Second"/>
        <w:bidi/>
        <w:jc w:val="left"/>
        <w:rPr>
          <w:rFonts w:hint="cs"/>
          <w:rtl/>
        </w:rPr>
      </w:pPr>
    </w:p>
    <w:p w:rsidR="00131301" w:rsidRDefault="00131301" w:rsidP="00131301">
      <w:pPr>
        <w:pStyle w:val="Second"/>
        <w:bidi/>
        <w:jc w:val="left"/>
        <w:rPr>
          <w:rFonts w:hint="cs"/>
          <w:rtl/>
        </w:rPr>
      </w:pPr>
    </w:p>
    <w:tbl>
      <w:tblPr>
        <w:bidiVisual/>
        <w:tblW w:w="0" w:type="auto"/>
        <w:tblInd w:w="5493" w:type="dxa"/>
        <w:tblLayout w:type="fixed"/>
        <w:tblLook w:val="0000"/>
      </w:tblPr>
      <w:tblGrid>
        <w:gridCol w:w="4361"/>
      </w:tblGrid>
      <w:tr w:rsidR="00131301" w:rsidTr="00AA719D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131301" w:rsidRDefault="00AD46FC" w:rsidP="00131301">
            <w:pPr>
              <w:pStyle w:val="mnormal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</w:t>
            </w:r>
            <w:r w:rsidR="00131301">
              <w:rPr>
                <w:rtl/>
              </w:rPr>
              <w:t>בכבוד רב,</w:t>
            </w:r>
          </w:p>
        </w:tc>
      </w:tr>
      <w:tr w:rsidR="00131301" w:rsidTr="00AA719D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131301" w:rsidRDefault="00131301" w:rsidP="00131301">
            <w:pPr>
              <w:pStyle w:val="mnormal"/>
              <w:jc w:val="left"/>
              <w:rPr>
                <w:rtl/>
              </w:rPr>
            </w:pPr>
          </w:p>
        </w:tc>
      </w:tr>
      <w:tr w:rsidR="00131301" w:rsidTr="00AA719D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131301" w:rsidRDefault="00AD46FC" w:rsidP="00131301">
            <w:pPr>
              <w:pStyle w:val="mnormal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 w:rsidR="00131301">
              <w:rPr>
                <w:rFonts w:hint="cs"/>
                <w:rtl/>
              </w:rPr>
              <w:t>המועצה ליצור ושיווק כותנה בע"מ</w:t>
            </w:r>
          </w:p>
        </w:tc>
      </w:tr>
      <w:tr w:rsidR="00131301" w:rsidTr="00AA719D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131301" w:rsidRDefault="00131301" w:rsidP="00131301">
            <w:pPr>
              <w:pStyle w:val="mnormal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131301" w:rsidRPr="002570BC" w:rsidRDefault="00131301" w:rsidP="00131301">
      <w:pPr>
        <w:pStyle w:val="a4"/>
        <w:ind w:left="0" w:right="0"/>
        <w:jc w:val="left"/>
        <w:rPr>
          <w:rFonts w:hint="cs"/>
          <w:rtl/>
          <w:lang w:eastAsia="en-US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2570BC">
        <w:rPr>
          <w:rFonts w:hint="cs"/>
          <w:rtl/>
          <w:lang w:eastAsia="en-US"/>
        </w:rPr>
        <w:tab/>
      </w:r>
      <w:r w:rsidRPr="002570BC">
        <w:rPr>
          <w:rFonts w:hint="cs"/>
          <w:rtl/>
          <w:lang w:eastAsia="en-US"/>
        </w:rPr>
        <w:tab/>
      </w:r>
      <w:r w:rsidRPr="002570BC">
        <w:rPr>
          <w:rFonts w:hint="cs"/>
          <w:rtl/>
          <w:lang w:eastAsia="en-US"/>
        </w:rPr>
        <w:tab/>
      </w:r>
      <w:r w:rsidRPr="00854F4C">
        <w:rPr>
          <w:rFonts w:ascii="Arial" w:hAnsi="Arial" w:cs="David" w:hint="cs"/>
          <w:sz w:val="26"/>
          <w:szCs w:val="26"/>
          <w:rtl/>
          <w:lang w:eastAsia="en-US"/>
        </w:rPr>
        <w:tab/>
      </w:r>
      <w:r>
        <w:rPr>
          <w:rFonts w:ascii="Arial" w:hAnsi="Arial" w:cs="David" w:hint="cs"/>
          <w:sz w:val="26"/>
          <w:szCs w:val="26"/>
          <w:rtl/>
          <w:lang w:eastAsia="en-US"/>
        </w:rPr>
        <w:t xml:space="preserve"> </w:t>
      </w:r>
    </w:p>
    <w:p w:rsidR="00131301" w:rsidRPr="002570BC" w:rsidRDefault="00131301" w:rsidP="00131301">
      <w:pPr>
        <w:rPr>
          <w:rFonts w:ascii="Arial" w:hAnsi="Arial" w:cs="David" w:hint="cs"/>
          <w:sz w:val="26"/>
          <w:szCs w:val="26"/>
          <w:lang w:eastAsia="en-US"/>
        </w:rPr>
      </w:pPr>
      <w:r>
        <w:rPr>
          <w:rFonts w:ascii="Arial" w:hAnsi="Arial" w:cs="David" w:hint="cs"/>
          <w:sz w:val="26"/>
          <w:szCs w:val="26"/>
          <w:rtl/>
          <w:lang w:eastAsia="en-US"/>
        </w:rPr>
        <w:t xml:space="preserve">  </w:t>
      </w:r>
    </w:p>
    <w:p w:rsidR="00E9760E" w:rsidRDefault="00E9760E" w:rsidP="00131301">
      <w:pPr>
        <w:rPr>
          <w:rFonts w:hint="cs"/>
          <w:rtl/>
        </w:rPr>
      </w:pPr>
    </w:p>
    <w:p w:rsidR="003F20D3" w:rsidRDefault="003F20D3" w:rsidP="00131301">
      <w:pPr>
        <w:rPr>
          <w:rFonts w:hint="cs"/>
          <w:rtl/>
        </w:rPr>
      </w:pPr>
    </w:p>
    <w:p w:rsidR="004428B8" w:rsidRDefault="004428B8" w:rsidP="00131301">
      <w:pPr>
        <w:rPr>
          <w:rFonts w:hint="cs"/>
          <w:rtl/>
        </w:rPr>
      </w:pPr>
    </w:p>
    <w:p w:rsidR="004428B8" w:rsidRDefault="004428B8" w:rsidP="00131301">
      <w:pPr>
        <w:rPr>
          <w:rFonts w:hint="cs"/>
          <w:rtl/>
        </w:rPr>
      </w:pPr>
    </w:p>
    <w:p w:rsidR="003F20D3" w:rsidRPr="00EF2FFB" w:rsidRDefault="003F20D3" w:rsidP="00C378F6">
      <w:pPr>
        <w:rPr>
          <w:rFonts w:hint="cs"/>
          <w:sz w:val="12"/>
          <w:szCs w:val="12"/>
          <w:rtl/>
        </w:rPr>
      </w:pPr>
      <w:r w:rsidRPr="00EF2FFB">
        <w:rPr>
          <w:rFonts w:hint="cs"/>
          <w:sz w:val="12"/>
          <w:szCs w:val="12"/>
          <w:rtl/>
        </w:rPr>
        <w:t>שיווק/מכירות מוקדמות</w:t>
      </w:r>
      <w:r w:rsidR="00F207EB" w:rsidRPr="00EF2FFB">
        <w:rPr>
          <w:rFonts w:hint="cs"/>
          <w:sz w:val="12"/>
          <w:szCs w:val="12"/>
          <w:rtl/>
        </w:rPr>
        <w:t>/</w:t>
      </w:r>
      <w:r w:rsidR="007C3212">
        <w:rPr>
          <w:rFonts w:hint="cs"/>
          <w:sz w:val="12"/>
          <w:szCs w:val="12"/>
          <w:rtl/>
        </w:rPr>
        <w:t>201</w:t>
      </w:r>
      <w:r w:rsidR="00C378F6">
        <w:rPr>
          <w:rFonts w:hint="cs"/>
          <w:sz w:val="12"/>
          <w:szCs w:val="12"/>
          <w:rtl/>
        </w:rPr>
        <w:t>6</w:t>
      </w:r>
      <w:r w:rsidR="00F207EB" w:rsidRPr="00EF2FFB">
        <w:rPr>
          <w:rFonts w:hint="cs"/>
          <w:sz w:val="12"/>
          <w:szCs w:val="12"/>
          <w:rtl/>
        </w:rPr>
        <w:t>/</w:t>
      </w:r>
      <w:r w:rsidRPr="00EF2FFB">
        <w:rPr>
          <w:rFonts w:hint="cs"/>
          <w:sz w:val="12"/>
          <w:szCs w:val="12"/>
          <w:rtl/>
        </w:rPr>
        <w:t>נוהל מכירות מוקדמות</w:t>
      </w:r>
    </w:p>
    <w:sectPr w:rsidR="003F20D3" w:rsidRPr="00EF2FFB" w:rsidSect="004428B8">
      <w:pgSz w:w="11906" w:h="16838"/>
      <w:pgMar w:top="851" w:right="1276" w:bottom="1440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Type David">
    <w:charset w:val="B1"/>
    <w:family w:val="auto"/>
    <w:pitch w:val="variable"/>
    <w:sig w:usb0="00001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B17"/>
    <w:multiLevelType w:val="hybridMultilevel"/>
    <w:tmpl w:val="11E6FDD4"/>
    <w:lvl w:ilvl="0" w:tplc="B82604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trackRevisions/>
  <w:defaultTabStop w:val="720"/>
  <w:characterSpacingControl w:val="doNotCompress"/>
  <w:compat/>
  <w:rsids>
    <w:rsidRoot w:val="00131301"/>
    <w:rsid w:val="00015F50"/>
    <w:rsid w:val="000740DC"/>
    <w:rsid w:val="00131301"/>
    <w:rsid w:val="00136882"/>
    <w:rsid w:val="00153F26"/>
    <w:rsid w:val="00284760"/>
    <w:rsid w:val="002E2B4C"/>
    <w:rsid w:val="003A1CED"/>
    <w:rsid w:val="003A44DF"/>
    <w:rsid w:val="003B5C53"/>
    <w:rsid w:val="003F20D3"/>
    <w:rsid w:val="004428B8"/>
    <w:rsid w:val="004A21FD"/>
    <w:rsid w:val="00587FDF"/>
    <w:rsid w:val="00696448"/>
    <w:rsid w:val="00696B35"/>
    <w:rsid w:val="00791B12"/>
    <w:rsid w:val="007C3212"/>
    <w:rsid w:val="007C786D"/>
    <w:rsid w:val="008B253C"/>
    <w:rsid w:val="009B6006"/>
    <w:rsid w:val="009E6B50"/>
    <w:rsid w:val="00A10032"/>
    <w:rsid w:val="00A466DE"/>
    <w:rsid w:val="00A9512E"/>
    <w:rsid w:val="00AA719D"/>
    <w:rsid w:val="00AD46FC"/>
    <w:rsid w:val="00B459B1"/>
    <w:rsid w:val="00BA5054"/>
    <w:rsid w:val="00BE630B"/>
    <w:rsid w:val="00C378F6"/>
    <w:rsid w:val="00C651CC"/>
    <w:rsid w:val="00D03CDB"/>
    <w:rsid w:val="00D325D3"/>
    <w:rsid w:val="00D75B77"/>
    <w:rsid w:val="00D97E05"/>
    <w:rsid w:val="00DD2789"/>
    <w:rsid w:val="00E269B7"/>
    <w:rsid w:val="00E9760E"/>
    <w:rsid w:val="00EF2FFB"/>
    <w:rsid w:val="00F207EB"/>
    <w:rsid w:val="00F91BB6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customStyle="1" w:styleId="a3">
    <w:name w:val="ראשונה"/>
    <w:basedOn w:val="a"/>
    <w:rsid w:val="00131301"/>
    <w:pPr>
      <w:spacing w:line="240" w:lineRule="auto"/>
      <w:ind w:left="566" w:right="566" w:hanging="567"/>
      <w:jc w:val="both"/>
    </w:pPr>
    <w:rPr>
      <w:rFonts w:eastAsia="Times New Roman" w:cs="TopType David"/>
      <w:sz w:val="24"/>
      <w:szCs w:val="22"/>
    </w:rPr>
  </w:style>
  <w:style w:type="paragraph" w:customStyle="1" w:styleId="a4">
    <w:name w:val="שניה"/>
    <w:basedOn w:val="a3"/>
    <w:rsid w:val="00131301"/>
    <w:pPr>
      <w:ind w:left="1416" w:right="1416" w:hanging="850"/>
    </w:pPr>
  </w:style>
  <w:style w:type="paragraph" w:customStyle="1" w:styleId="First">
    <w:name w:val="First"/>
    <w:basedOn w:val="a"/>
    <w:rsid w:val="00131301"/>
    <w:pPr>
      <w:bidi w:val="0"/>
      <w:spacing w:line="240" w:lineRule="auto"/>
      <w:ind w:left="566" w:hanging="567"/>
      <w:jc w:val="both"/>
    </w:pPr>
    <w:rPr>
      <w:rFonts w:eastAsia="Times New Roman" w:cs="TopType David"/>
      <w:sz w:val="24"/>
      <w:szCs w:val="22"/>
    </w:rPr>
  </w:style>
  <w:style w:type="paragraph" w:customStyle="1" w:styleId="Second">
    <w:name w:val="Second"/>
    <w:basedOn w:val="a"/>
    <w:rsid w:val="00131301"/>
    <w:pPr>
      <w:bidi w:val="0"/>
      <w:spacing w:line="240" w:lineRule="auto"/>
      <w:ind w:left="1276" w:hanging="710"/>
      <w:jc w:val="both"/>
    </w:pPr>
    <w:rPr>
      <w:rFonts w:eastAsia="Times New Roman" w:cs="TopType David"/>
      <w:sz w:val="24"/>
      <w:szCs w:val="22"/>
    </w:rPr>
  </w:style>
  <w:style w:type="paragraph" w:customStyle="1" w:styleId="mnormal">
    <w:name w:val="mnormal"/>
    <w:basedOn w:val="a"/>
    <w:rsid w:val="00131301"/>
    <w:pPr>
      <w:spacing w:line="300" w:lineRule="atLeast"/>
      <w:jc w:val="both"/>
    </w:pPr>
    <w:rPr>
      <w:rFonts w:eastAsia="Times New Roman" w:cs="David"/>
      <w:sz w:val="26"/>
      <w:szCs w:val="26"/>
      <w:lang w:eastAsia="en-US"/>
    </w:rPr>
  </w:style>
  <w:style w:type="paragraph" w:customStyle="1" w:styleId="a5">
    <w:name w:val="ראשונה משפטי"/>
    <w:basedOn w:val="a"/>
    <w:rsid w:val="00131301"/>
    <w:pPr>
      <w:spacing w:line="300" w:lineRule="atLeast"/>
      <w:ind w:right="567" w:hanging="567"/>
      <w:jc w:val="both"/>
    </w:pPr>
    <w:rPr>
      <w:rFonts w:eastAsia="Times New Roman" w:cs="David"/>
      <w:sz w:val="26"/>
      <w:szCs w:val="26"/>
      <w:lang w:eastAsia="en-US"/>
    </w:rPr>
  </w:style>
  <w:style w:type="table" w:styleId="a6">
    <w:name w:val="Table Grid"/>
    <w:basedOn w:val="a1"/>
    <w:rsid w:val="00131301"/>
    <w:pPr>
      <w:bidi/>
    </w:pPr>
    <w:rPr>
      <w:rFonts w:ascii="Times New Roman" w:eastAsia="Times New Roman" w:hAnsi="Times New Roman"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5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75B77"/>
    <w:rPr>
      <w:rFonts w:ascii="Tahoma" w:eastAsia="MS Mincho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4</TotalTime>
  <Pages>2</Pages>
  <Words>510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2012-12-16T11:19:00Z</cp:lastPrinted>
  <dcterms:created xsi:type="dcterms:W3CDTF">2016-01-17T06:19:00Z</dcterms:created>
  <dcterms:modified xsi:type="dcterms:W3CDTF">2016-01-17T06:23:00Z</dcterms:modified>
</cp:coreProperties>
</file>