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0E" w:rsidRPr="00A73DC1" w:rsidRDefault="001D70E0" w:rsidP="00E9760E">
      <w:pPr>
        <w:pStyle w:val="1"/>
        <w:spacing w:line="240" w:lineRule="auto"/>
        <w:jc w:val="center"/>
        <w:rPr>
          <w:b/>
          <w:bCs/>
          <w:color w:val="008000"/>
          <w:szCs w:val="28"/>
          <w:u w:val="none"/>
          <w:rtl/>
        </w:rPr>
      </w:pPr>
      <w:r w:rsidRPr="001D70E0">
        <w:rPr>
          <w:rFonts w:ascii="AvantGarde Md BT" w:hAnsi="AvantGarde Md BT"/>
          <w:b/>
          <w:bCs/>
          <w:color w:val="008000"/>
          <w:szCs w:val="28"/>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3.15pt;margin-top:9pt;width:42.75pt;height:51pt;z-index:251657728">
            <v:imagedata r:id="rId6" o:title=""/>
            <w10:wrap type="square" side="left"/>
          </v:shape>
          <o:OLEObject Type="Embed" ProgID="CorelDRAW.Graphic.6" ShapeID="_x0000_s1026" DrawAspect="Content" ObjectID="_1516360470" r:id="rId7"/>
        </w:pict>
      </w:r>
      <w:r w:rsidR="00E9760E" w:rsidRPr="00A73DC1">
        <w:rPr>
          <w:b/>
          <w:bCs/>
          <w:color w:val="008000"/>
          <w:szCs w:val="28"/>
          <w:u w:val="none"/>
          <w:rtl/>
        </w:rPr>
        <w:t>המועצה לייצור ושיווק כותנה בע"מ</w:t>
      </w:r>
    </w:p>
    <w:p w:rsidR="00E9760E" w:rsidRPr="00A73DC1" w:rsidRDefault="00E9760E" w:rsidP="00E9760E">
      <w:pPr>
        <w:bidi w:val="0"/>
        <w:spacing w:line="240" w:lineRule="auto"/>
        <w:jc w:val="center"/>
        <w:rPr>
          <w:rFonts w:ascii="AvantGarde Md BT" w:hAnsi="AvantGarde Md BT"/>
          <w:b/>
          <w:bCs/>
          <w:color w:val="008000"/>
          <w:sz w:val="24"/>
        </w:rPr>
      </w:pPr>
      <w:r w:rsidRPr="00455591">
        <w:rPr>
          <w:rFonts w:ascii="AvantGarde Md BT" w:hAnsi="AvantGarde Md BT"/>
          <w:b/>
          <w:bCs/>
          <w:color w:val="008000"/>
          <w:sz w:val="28"/>
          <w:szCs w:val="28"/>
        </w:rPr>
        <w:t>The Israel Cotton Production &amp; Marketing Board Ltd.</w:t>
      </w:r>
    </w:p>
    <w:p w:rsidR="00E9760E" w:rsidRPr="00455591" w:rsidRDefault="00E9760E" w:rsidP="00E9760E">
      <w:pPr>
        <w:bidi w:val="0"/>
        <w:spacing w:line="240" w:lineRule="auto"/>
        <w:jc w:val="center"/>
        <w:rPr>
          <w:rFonts w:ascii="AvantGarde Md BT" w:hAnsi="AvantGarde Md BT"/>
          <w:b/>
          <w:bCs/>
          <w:color w:val="008000"/>
          <w:sz w:val="28"/>
          <w:szCs w:val="28"/>
        </w:rPr>
      </w:pPr>
    </w:p>
    <w:p w:rsidR="00E9760E" w:rsidRPr="00455591" w:rsidRDefault="00E9760E" w:rsidP="00E9760E">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Pr="00455591">
        <w:rPr>
          <w:rFonts w:cs="Times New Roman"/>
          <w:color w:val="5A0000"/>
          <w:sz w:val="20"/>
          <w:szCs w:val="20"/>
          <w:rtl/>
        </w:rPr>
        <w:t>46103</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rsidR="00E9760E" w:rsidRPr="00A73DC1" w:rsidRDefault="00E9760E" w:rsidP="00E9760E">
      <w:pPr>
        <w:pStyle w:val="2"/>
        <w:ind w:right="-426"/>
        <w:jc w:val="center"/>
        <w:rPr>
          <w:rFonts w:cs="Times New Roman"/>
          <w:color w:val="5A0000"/>
          <w:rtl/>
        </w:rPr>
      </w:pPr>
      <w:r w:rsidRPr="00A73DC1">
        <w:rPr>
          <w:color w:val="5A0000"/>
          <w:rtl/>
        </w:rPr>
        <w:t>טל</w:t>
      </w:r>
      <w:r w:rsidRPr="00A73DC1">
        <w:rPr>
          <w:rFonts w:hint="cs"/>
          <w:color w:val="5A0000"/>
          <w:rtl/>
        </w:rPr>
        <w:t>'</w:t>
      </w:r>
      <w:r w:rsidRPr="00A73DC1">
        <w:rPr>
          <w:color w:val="5A0000"/>
          <w:rtl/>
        </w:rPr>
        <w:t xml:space="preserve">: </w:t>
      </w:r>
      <w:r w:rsidRPr="00A73DC1">
        <w:rPr>
          <w:rFonts w:cs="Times New Roman"/>
          <w:color w:val="5A0000"/>
          <w:rtl/>
        </w:rPr>
        <w:t>09-</w:t>
      </w:r>
      <w:r w:rsidRPr="00A73DC1">
        <w:rPr>
          <w:rFonts w:cs="Times New Roman" w:hint="cs"/>
          <w:color w:val="5A0000"/>
          <w:rtl/>
        </w:rPr>
        <w:t>9604000</w:t>
      </w:r>
      <w:r w:rsidRPr="00A73DC1">
        <w:rPr>
          <w:color w:val="5A0000"/>
          <w:rtl/>
        </w:rPr>
        <w:t xml:space="preserve"> (רב-קווי),פקס: </w:t>
      </w:r>
      <w:r w:rsidRPr="00A73DC1">
        <w:rPr>
          <w:rFonts w:cs="Times New Roman" w:hint="cs"/>
          <w:color w:val="5A0000"/>
          <w:rtl/>
        </w:rPr>
        <w:t>09-9604030</w:t>
      </w:r>
      <w:r w:rsidRPr="00A73DC1">
        <w:rPr>
          <w:rFonts w:hint="cs"/>
          <w:color w:val="5A0000"/>
          <w:rtl/>
        </w:rPr>
        <w:t xml:space="preserve"> </w:t>
      </w:r>
      <w:r w:rsidRPr="00A73DC1">
        <w:rPr>
          <w:color w:val="5A0000"/>
        </w:rPr>
        <w:t xml:space="preserve">Tel: </w:t>
      </w:r>
      <w:r w:rsidRPr="00A73DC1">
        <w:rPr>
          <w:rFonts w:cs="Times New Roman"/>
          <w:color w:val="5A0000"/>
        </w:rPr>
        <w:t>972-9-9604003</w:t>
      </w:r>
      <w:r w:rsidRPr="00A73DC1">
        <w:rPr>
          <w:color w:val="5A0000"/>
        </w:rPr>
        <w:t xml:space="preserve">, Fax: </w:t>
      </w:r>
      <w:r w:rsidRPr="00A73DC1">
        <w:rPr>
          <w:rFonts w:cs="Times New Roman"/>
          <w:color w:val="5A0000"/>
        </w:rPr>
        <w:t>972-9-9604010</w:t>
      </w:r>
    </w:p>
    <w:p w:rsidR="008C62A9" w:rsidRPr="00756950" w:rsidRDefault="0071041F" w:rsidP="00F136E5">
      <w:pPr>
        <w:rPr>
          <w:sz w:val="24"/>
          <w:rtl/>
        </w:rPr>
      </w:pPr>
      <w:r w:rsidRPr="00756950">
        <w:rPr>
          <w:rFonts w:hint="cs"/>
          <w:sz w:val="24"/>
          <w:rtl/>
        </w:rPr>
        <w:tab/>
      </w:r>
      <w:r w:rsidRPr="00756950">
        <w:rPr>
          <w:rFonts w:hint="cs"/>
          <w:sz w:val="24"/>
          <w:rtl/>
        </w:rPr>
        <w:tab/>
      </w:r>
      <w:r w:rsidRPr="00756950">
        <w:rPr>
          <w:rFonts w:hint="cs"/>
          <w:sz w:val="24"/>
          <w:rtl/>
        </w:rPr>
        <w:tab/>
      </w:r>
      <w:r w:rsidRPr="00756950">
        <w:rPr>
          <w:rFonts w:hint="cs"/>
          <w:sz w:val="24"/>
          <w:rtl/>
        </w:rPr>
        <w:tab/>
      </w:r>
      <w:r w:rsidRPr="00756950">
        <w:rPr>
          <w:rFonts w:hint="cs"/>
          <w:sz w:val="24"/>
          <w:rtl/>
        </w:rPr>
        <w:tab/>
      </w:r>
      <w:r w:rsidRPr="00756950">
        <w:rPr>
          <w:rFonts w:hint="cs"/>
          <w:sz w:val="24"/>
          <w:rtl/>
        </w:rPr>
        <w:tab/>
      </w:r>
      <w:r w:rsidRPr="00756950">
        <w:rPr>
          <w:rFonts w:hint="cs"/>
          <w:sz w:val="24"/>
          <w:rtl/>
        </w:rPr>
        <w:tab/>
      </w:r>
      <w:r w:rsidRPr="00756950">
        <w:rPr>
          <w:rFonts w:hint="cs"/>
          <w:sz w:val="24"/>
          <w:rtl/>
        </w:rPr>
        <w:tab/>
      </w:r>
      <w:r w:rsidR="005E7B4E" w:rsidRPr="00756950">
        <w:rPr>
          <w:rFonts w:hint="cs"/>
          <w:sz w:val="24"/>
          <w:rtl/>
        </w:rPr>
        <w:tab/>
      </w:r>
      <w:r w:rsidR="005E7B4E" w:rsidRPr="00756950">
        <w:rPr>
          <w:rFonts w:hint="cs"/>
          <w:sz w:val="24"/>
          <w:rtl/>
        </w:rPr>
        <w:tab/>
      </w:r>
      <w:r w:rsidR="00370C34" w:rsidRPr="00756950">
        <w:rPr>
          <w:rFonts w:hint="cs"/>
          <w:sz w:val="24"/>
          <w:rtl/>
        </w:rPr>
        <w:tab/>
      </w:r>
    </w:p>
    <w:p w:rsidR="001230CD" w:rsidRPr="00756950" w:rsidRDefault="005D798C" w:rsidP="00571E34">
      <w:pPr>
        <w:jc w:val="right"/>
        <w:rPr>
          <w:sz w:val="24"/>
          <w:rtl/>
        </w:rPr>
      </w:pPr>
      <w:r>
        <w:rPr>
          <w:rFonts w:hint="cs"/>
          <w:sz w:val="24"/>
          <w:rtl/>
        </w:rPr>
        <w:t>7 בפברואר</w:t>
      </w:r>
      <w:r w:rsidR="00AE415E">
        <w:rPr>
          <w:rFonts w:hint="cs"/>
          <w:sz w:val="24"/>
          <w:rtl/>
        </w:rPr>
        <w:t xml:space="preserve"> 2016</w:t>
      </w:r>
    </w:p>
    <w:p w:rsidR="00AE415E" w:rsidRDefault="00365C84" w:rsidP="00BD49C8">
      <w:pPr>
        <w:ind w:left="720"/>
        <w:rPr>
          <w:sz w:val="24"/>
          <w:rtl/>
        </w:rPr>
      </w:pPr>
      <w:r w:rsidRPr="00756950">
        <w:rPr>
          <w:rFonts w:hint="cs"/>
          <w:sz w:val="24"/>
          <w:rtl/>
        </w:rPr>
        <w:t>למגדלים שלום,</w:t>
      </w:r>
      <w:r w:rsidR="003543F1">
        <w:rPr>
          <w:rFonts w:hint="cs"/>
          <w:sz w:val="24"/>
          <w:rtl/>
        </w:rPr>
        <w:br/>
      </w:r>
      <w:r w:rsidR="005D798C">
        <w:rPr>
          <w:rFonts w:hint="cs"/>
          <w:sz w:val="24"/>
          <w:rtl/>
        </w:rPr>
        <w:t xml:space="preserve">גשמי ברכה יורדים בימים האחרונים. זו העת לסכם את העונה שחלפה ולהתכונן </w:t>
      </w:r>
      <w:r w:rsidR="005D798C">
        <w:rPr>
          <w:sz w:val="24"/>
          <w:rtl/>
        </w:rPr>
        <w:br/>
      </w:r>
      <w:r w:rsidR="005D798C">
        <w:rPr>
          <w:rFonts w:hint="cs"/>
          <w:sz w:val="24"/>
          <w:rtl/>
        </w:rPr>
        <w:t>לעונת 2016 שבפתח.</w:t>
      </w:r>
      <w:r w:rsidR="00BD49C8">
        <w:rPr>
          <w:rFonts w:hint="cs"/>
          <w:sz w:val="24"/>
          <w:rtl/>
        </w:rPr>
        <w:br/>
      </w:r>
    </w:p>
    <w:p w:rsidR="00BD49C8" w:rsidRDefault="005D798C" w:rsidP="007B3525">
      <w:pPr>
        <w:pStyle w:val="a6"/>
        <w:numPr>
          <w:ilvl w:val="0"/>
          <w:numId w:val="4"/>
        </w:numPr>
        <w:rPr>
          <w:sz w:val="24"/>
        </w:rPr>
      </w:pPr>
      <w:r w:rsidRPr="00BD49C8">
        <w:rPr>
          <w:rFonts w:hint="cs"/>
          <w:b/>
          <w:bCs/>
          <w:sz w:val="24"/>
          <w:u w:val="single"/>
          <w:rtl/>
        </w:rPr>
        <w:t>מהנעשה בשוק</w:t>
      </w:r>
      <w:r w:rsidRPr="00BD49C8">
        <w:rPr>
          <w:b/>
          <w:bCs/>
          <w:sz w:val="24"/>
          <w:u w:val="single"/>
          <w:rtl/>
        </w:rPr>
        <w:br/>
      </w:r>
      <w:r w:rsidRPr="00BD49C8">
        <w:rPr>
          <w:rFonts w:hint="cs"/>
          <w:b/>
          <w:bCs/>
          <w:sz w:val="24"/>
          <w:rtl/>
        </w:rPr>
        <w:t>שוק הכותנה</w:t>
      </w:r>
      <w:r w:rsidRPr="00BD49C8">
        <w:rPr>
          <w:rFonts w:hint="cs"/>
          <w:sz w:val="24"/>
          <w:rtl/>
        </w:rPr>
        <w:t xml:space="preserve"> ממשיך לשמור על יציבות יחסית למרות ש</w:t>
      </w:r>
      <w:r w:rsidR="007B3525">
        <w:rPr>
          <w:rFonts w:hint="cs"/>
          <w:sz w:val="24"/>
          <w:rtl/>
        </w:rPr>
        <w:t>סובל מה</w:t>
      </w:r>
      <w:r w:rsidR="005A7489" w:rsidRPr="00BD49C8">
        <w:rPr>
          <w:rFonts w:hint="cs"/>
          <w:sz w:val="24"/>
          <w:rtl/>
        </w:rPr>
        <w:t xml:space="preserve">חולשה </w:t>
      </w:r>
      <w:r w:rsidR="007B3525">
        <w:rPr>
          <w:rFonts w:hint="cs"/>
          <w:sz w:val="24"/>
          <w:rtl/>
        </w:rPr>
        <w:t>ה</w:t>
      </w:r>
      <w:r w:rsidR="005A7489" w:rsidRPr="00BD49C8">
        <w:rPr>
          <w:rFonts w:hint="cs"/>
          <w:sz w:val="24"/>
          <w:rtl/>
        </w:rPr>
        <w:t xml:space="preserve">כללית במחירי הסחורות </w:t>
      </w:r>
      <w:r w:rsidRPr="00BD49C8">
        <w:rPr>
          <w:rFonts w:hint="cs"/>
          <w:sz w:val="24"/>
          <w:rtl/>
        </w:rPr>
        <w:t>כ</w:t>
      </w:r>
      <w:r w:rsidR="005A7489" w:rsidRPr="00BD49C8">
        <w:rPr>
          <w:rFonts w:hint="cs"/>
          <w:sz w:val="24"/>
          <w:rtl/>
        </w:rPr>
        <w:t>ג</w:t>
      </w:r>
      <w:r w:rsidRPr="00BD49C8">
        <w:rPr>
          <w:rFonts w:hint="cs"/>
          <w:sz w:val="24"/>
          <w:rtl/>
        </w:rPr>
        <w:t xml:space="preserve">ון </w:t>
      </w:r>
      <w:r w:rsidR="005A7489" w:rsidRPr="00BD49C8">
        <w:rPr>
          <w:rFonts w:hint="cs"/>
          <w:sz w:val="24"/>
          <w:rtl/>
        </w:rPr>
        <w:t xml:space="preserve">גרעינים ונפט. מחירי הבורסה בטוח של 60-65 סנט/ליברה, ואינדקס </w:t>
      </w:r>
      <w:r w:rsidR="005A7489" w:rsidRPr="00BD49C8">
        <w:rPr>
          <w:rFonts w:hint="cs"/>
          <w:sz w:val="24"/>
        </w:rPr>
        <w:t>A</w:t>
      </w:r>
      <w:r w:rsidR="005A7489" w:rsidRPr="00BD49C8">
        <w:rPr>
          <w:rFonts w:hint="cs"/>
          <w:sz w:val="24"/>
          <w:rtl/>
        </w:rPr>
        <w:t xml:space="preserve"> בטווח של</w:t>
      </w:r>
      <w:r w:rsidR="007B3525">
        <w:rPr>
          <w:rFonts w:hint="cs"/>
          <w:sz w:val="24"/>
          <w:rtl/>
        </w:rPr>
        <w:t xml:space="preserve"> </w:t>
      </w:r>
      <w:r w:rsidR="005A7489" w:rsidRPr="00BD49C8">
        <w:rPr>
          <w:rFonts w:hint="cs"/>
          <w:sz w:val="24"/>
          <w:rtl/>
        </w:rPr>
        <w:t>65-70 סנט/ליברה. הירידה ביצור העולמי תוביל לירידה במלאי העולמי ובמיוחד במלאי בסין. השוק מצפה למחיר בו יבצעו הסינים מכירה מהמלאי.</w:t>
      </w:r>
      <w:r w:rsidR="005A7489" w:rsidRPr="00BD49C8">
        <w:rPr>
          <w:rFonts w:hint="cs"/>
          <w:sz w:val="24"/>
          <w:rtl/>
        </w:rPr>
        <w:br/>
        <w:t xml:space="preserve">בשוק </w:t>
      </w:r>
      <w:r w:rsidR="005A7489" w:rsidRPr="00BD49C8">
        <w:rPr>
          <w:rFonts w:hint="cs"/>
          <w:b/>
          <w:bCs/>
          <w:sz w:val="24"/>
          <w:rtl/>
        </w:rPr>
        <w:t>הסיב הארוך</w:t>
      </w:r>
      <w:r w:rsidR="005A7489" w:rsidRPr="00BD49C8">
        <w:rPr>
          <w:rFonts w:hint="cs"/>
          <w:sz w:val="24"/>
          <w:rtl/>
        </w:rPr>
        <w:t xml:space="preserve"> אנו עדים להמשך הירידה המתונה </w:t>
      </w:r>
      <w:r w:rsidR="007B3525">
        <w:rPr>
          <w:rFonts w:hint="cs"/>
          <w:sz w:val="24"/>
          <w:rtl/>
        </w:rPr>
        <w:t xml:space="preserve">אך </w:t>
      </w:r>
      <w:r w:rsidR="005A7489" w:rsidRPr="00BD49C8">
        <w:rPr>
          <w:rFonts w:hint="cs"/>
          <w:sz w:val="24"/>
          <w:rtl/>
        </w:rPr>
        <w:t>הקבועה במחירי הסיבים ומנגד התאוששות בביקוש.</w:t>
      </w:r>
      <w:r w:rsidR="005A7489" w:rsidRPr="00BD49C8">
        <w:rPr>
          <w:sz w:val="24"/>
          <w:rtl/>
        </w:rPr>
        <w:br/>
      </w:r>
      <w:r w:rsidR="005A7489" w:rsidRPr="00BD49C8">
        <w:rPr>
          <w:rFonts w:hint="cs"/>
          <w:sz w:val="24"/>
          <w:rtl/>
        </w:rPr>
        <w:t xml:space="preserve">הכותנה הישראלית נמכרת בטווח של 135-140 סנט/ליברה פימה </w:t>
      </w:r>
      <w:proofErr w:type="spellStart"/>
      <w:r w:rsidR="005A7489" w:rsidRPr="00BD49C8">
        <w:rPr>
          <w:rFonts w:hint="cs"/>
          <w:sz w:val="24"/>
          <w:rtl/>
        </w:rPr>
        <w:t>וכ</w:t>
      </w:r>
      <w:proofErr w:type="spellEnd"/>
      <w:r w:rsidR="005A7489" w:rsidRPr="00BD49C8">
        <w:rPr>
          <w:rFonts w:hint="cs"/>
          <w:sz w:val="24"/>
          <w:rtl/>
        </w:rPr>
        <w:t>-120 סנט/ליברה אקלפי.</w:t>
      </w:r>
      <w:r w:rsidR="00BD49C8">
        <w:rPr>
          <w:sz w:val="24"/>
          <w:rtl/>
        </w:rPr>
        <w:br/>
      </w:r>
    </w:p>
    <w:p w:rsidR="00000AA7" w:rsidRPr="00BD49C8" w:rsidRDefault="005A7489" w:rsidP="00285588">
      <w:pPr>
        <w:pStyle w:val="a6"/>
        <w:numPr>
          <w:ilvl w:val="0"/>
          <w:numId w:val="4"/>
        </w:numPr>
        <w:rPr>
          <w:sz w:val="24"/>
          <w:rtl/>
        </w:rPr>
      </w:pPr>
      <w:r w:rsidRPr="00BD49C8">
        <w:rPr>
          <w:b/>
          <w:bCs/>
          <w:sz w:val="24"/>
          <w:u w:val="single"/>
        </w:rPr>
        <w:t>BCI</w:t>
      </w:r>
      <w:r w:rsidRPr="00BD49C8">
        <w:rPr>
          <w:b/>
          <w:bCs/>
          <w:sz w:val="24"/>
          <w:u w:val="single"/>
        </w:rPr>
        <w:br/>
      </w:r>
      <w:r w:rsidRPr="00BD49C8">
        <w:rPr>
          <w:rFonts w:hint="cs"/>
          <w:sz w:val="24"/>
          <w:rtl/>
        </w:rPr>
        <w:t xml:space="preserve">אנו שמחים לבשר כי כלל הכותנה הישראלית של עונת 2015 זכתה לאישור התקן העולמי של </w:t>
      </w:r>
      <w:r w:rsidRPr="00BD49C8">
        <w:rPr>
          <w:sz w:val="24"/>
        </w:rPr>
        <w:t xml:space="preserve">  </w:t>
      </w:r>
      <w:r w:rsidRPr="00BD49C8">
        <w:rPr>
          <w:rFonts w:hint="cs"/>
          <w:sz w:val="24"/>
        </w:rPr>
        <w:t xml:space="preserve">BCI </w:t>
      </w:r>
      <w:r w:rsidRPr="00BD49C8">
        <w:rPr>
          <w:rFonts w:hint="cs"/>
          <w:sz w:val="24"/>
          <w:rtl/>
        </w:rPr>
        <w:t>(היוזמה לכותנה משופרת). אישור זה שהושג במהירות חסרת תקדים הוא עדות לחוזקו ומקצועיותו של ענף הכותנה בישראל.</w:t>
      </w:r>
      <w:r w:rsidRPr="00BD49C8">
        <w:rPr>
          <w:sz w:val="24"/>
          <w:rtl/>
        </w:rPr>
        <w:br/>
      </w:r>
      <w:r w:rsidRPr="00BD49C8">
        <w:rPr>
          <w:rFonts w:hint="cs"/>
          <w:sz w:val="24"/>
          <w:rtl/>
        </w:rPr>
        <w:t>ברכות לכל העוסקים במלא</w:t>
      </w:r>
      <w:r w:rsidR="00D0103B" w:rsidRPr="00BD49C8">
        <w:rPr>
          <w:rFonts w:hint="cs"/>
          <w:sz w:val="24"/>
          <w:rtl/>
        </w:rPr>
        <w:t>כ</w:t>
      </w:r>
      <w:r w:rsidRPr="00BD49C8">
        <w:rPr>
          <w:rFonts w:hint="cs"/>
          <w:sz w:val="24"/>
          <w:rtl/>
        </w:rPr>
        <w:t xml:space="preserve">ה: למגדלים, לפעילים באזורים ובמועצה ובראש ובראשונה, </w:t>
      </w:r>
      <w:r w:rsidR="00D0103B" w:rsidRPr="00BD49C8">
        <w:rPr>
          <w:sz w:val="24"/>
          <w:rtl/>
        </w:rPr>
        <w:br/>
      </w:r>
      <w:r w:rsidRPr="00BD49C8">
        <w:rPr>
          <w:rFonts w:hint="cs"/>
          <w:sz w:val="24"/>
          <w:rtl/>
        </w:rPr>
        <w:t>ליונתן  ספנסר.</w:t>
      </w:r>
      <w:r w:rsidRPr="00BD49C8">
        <w:rPr>
          <w:sz w:val="24"/>
          <w:rtl/>
        </w:rPr>
        <w:br/>
      </w:r>
      <w:r w:rsidRPr="00BD49C8">
        <w:rPr>
          <w:rFonts w:hint="cs"/>
          <w:sz w:val="24"/>
          <w:rtl/>
        </w:rPr>
        <w:t>בכוונתנו להמשיך ולפעול באופן מתמיד לשיפור בתחומי כלכלת הגידול, הקשר לחברה ולסביבה למען ענף ועולם טוב יותר</w:t>
      </w:r>
      <w:r w:rsidR="00D0103B" w:rsidRPr="00BD49C8">
        <w:rPr>
          <w:rFonts w:hint="cs"/>
          <w:sz w:val="24"/>
          <w:rtl/>
        </w:rPr>
        <w:t>.</w:t>
      </w:r>
      <w:r w:rsidR="00D0103B" w:rsidRPr="00BD49C8">
        <w:rPr>
          <w:sz w:val="24"/>
          <w:rtl/>
        </w:rPr>
        <w:br/>
      </w:r>
    </w:p>
    <w:p w:rsidR="00D0103B" w:rsidRPr="00BD49C8" w:rsidRDefault="00D0103B" w:rsidP="00BD49C8">
      <w:pPr>
        <w:pStyle w:val="a6"/>
        <w:numPr>
          <w:ilvl w:val="0"/>
          <w:numId w:val="4"/>
        </w:numPr>
        <w:rPr>
          <w:sz w:val="24"/>
          <w:rtl/>
        </w:rPr>
      </w:pPr>
      <w:r w:rsidRPr="00BD49C8">
        <w:rPr>
          <w:rFonts w:hint="cs"/>
          <w:b/>
          <w:bCs/>
          <w:sz w:val="24"/>
          <w:u w:val="single"/>
          <w:rtl/>
        </w:rPr>
        <w:t>מחירון זמני</w:t>
      </w:r>
      <w:r w:rsidRPr="00BD49C8">
        <w:rPr>
          <w:b/>
          <w:bCs/>
          <w:sz w:val="24"/>
          <w:u w:val="single"/>
          <w:rtl/>
        </w:rPr>
        <w:br/>
      </w:r>
      <w:r w:rsidRPr="00BD49C8">
        <w:rPr>
          <w:rFonts w:hint="cs"/>
          <w:sz w:val="24"/>
          <w:rtl/>
        </w:rPr>
        <w:t>לידיעון זה מצורף מחיר המחירון הזמני לעונת 2015. בימים הקרובים יועבר לכל מגדל ערך היבול הזמני שלו.</w:t>
      </w:r>
      <w:r w:rsidRPr="00BD49C8">
        <w:rPr>
          <w:sz w:val="24"/>
          <w:rtl/>
        </w:rPr>
        <w:br/>
      </w:r>
      <w:r w:rsidRPr="00BD49C8">
        <w:rPr>
          <w:rFonts w:hint="cs"/>
          <w:sz w:val="24"/>
          <w:rtl/>
        </w:rPr>
        <w:t xml:space="preserve">אנו מזכירים כי המחירון הזמני </w:t>
      </w:r>
      <w:proofErr w:type="spellStart"/>
      <w:r w:rsidRPr="00BD49C8">
        <w:rPr>
          <w:rFonts w:hint="cs"/>
          <w:sz w:val="24"/>
          <w:rtl/>
        </w:rPr>
        <w:t>מאופין</w:t>
      </w:r>
      <w:proofErr w:type="spellEnd"/>
      <w:r w:rsidRPr="00BD49C8">
        <w:rPr>
          <w:rFonts w:hint="cs"/>
          <w:sz w:val="24"/>
          <w:rtl/>
        </w:rPr>
        <w:t xml:space="preserve"> בגישה שמרנית ולכן יכול לשמש, בתאום עם רואה החשבון, לרישום מלאי הכותנה בדוחות הכספיים. ערך היבול הסופי נקבע בעת סגירת הפול ובמקביל משולמת יתרת החשבון.</w:t>
      </w:r>
      <w:r w:rsidRPr="00BD49C8">
        <w:rPr>
          <w:rFonts w:hint="cs"/>
          <w:sz w:val="24"/>
          <w:rtl/>
        </w:rPr>
        <w:br/>
      </w:r>
    </w:p>
    <w:p w:rsidR="00F413EA" w:rsidRPr="00BD49C8" w:rsidRDefault="00D0103B" w:rsidP="009F10D2">
      <w:pPr>
        <w:pStyle w:val="a6"/>
        <w:numPr>
          <w:ilvl w:val="0"/>
          <w:numId w:val="4"/>
        </w:numPr>
        <w:rPr>
          <w:sz w:val="24"/>
          <w:rtl/>
        </w:rPr>
      </w:pPr>
      <w:r w:rsidRPr="00BD49C8">
        <w:rPr>
          <w:rFonts w:hint="cs"/>
          <w:b/>
          <w:bCs/>
          <w:sz w:val="24"/>
          <w:u w:val="single"/>
          <w:rtl/>
        </w:rPr>
        <w:t xml:space="preserve">כותנה אורגנית </w:t>
      </w:r>
      <w:r w:rsidRPr="00BD49C8">
        <w:rPr>
          <w:b/>
          <w:bCs/>
          <w:sz w:val="24"/>
          <w:u w:val="single"/>
          <w:rtl/>
        </w:rPr>
        <w:t>–</w:t>
      </w:r>
      <w:r w:rsidRPr="00BD49C8">
        <w:rPr>
          <w:rFonts w:hint="cs"/>
          <w:b/>
          <w:bCs/>
          <w:sz w:val="24"/>
          <w:u w:val="single"/>
          <w:rtl/>
        </w:rPr>
        <w:t xml:space="preserve"> סוף פרק</w:t>
      </w:r>
      <w:r w:rsidR="00285588">
        <w:rPr>
          <w:rFonts w:hint="cs"/>
          <w:b/>
          <w:bCs/>
          <w:sz w:val="24"/>
          <w:u w:val="single"/>
          <w:rtl/>
        </w:rPr>
        <w:t xml:space="preserve"> ?</w:t>
      </w:r>
      <w:r w:rsidRPr="00BD49C8">
        <w:rPr>
          <w:b/>
          <w:bCs/>
          <w:sz w:val="24"/>
          <w:u w:val="single"/>
          <w:rtl/>
        </w:rPr>
        <w:br/>
      </w:r>
      <w:r w:rsidRPr="00BD49C8">
        <w:rPr>
          <w:rFonts w:hint="cs"/>
          <w:sz w:val="24"/>
          <w:rtl/>
        </w:rPr>
        <w:t xml:space="preserve">עקב הירידה בביקוש לפימה אורגנית ומלאים שהצטברו, צומצם עד מאד הפער בין מחירי הכותנה האורגנית לכותנה הרגילה. לאור זאת, נקבע כי לא תגודל כותנה אורגנית בעונת 2016. הכותנה האורגנית תרמה רבות לענף בפיתוח שיטות יצירתיות לבקרת השקיה </w:t>
      </w:r>
      <w:r w:rsidR="0010714B">
        <w:rPr>
          <w:rFonts w:hint="cs"/>
          <w:sz w:val="24"/>
          <w:rtl/>
        </w:rPr>
        <w:t>,לסיום הגידול</w:t>
      </w:r>
      <w:r w:rsidRPr="00BD49C8">
        <w:rPr>
          <w:rFonts w:hint="cs"/>
          <w:sz w:val="24"/>
          <w:rtl/>
        </w:rPr>
        <w:t xml:space="preserve"> והתמודדות עם מזיקים מתוך הצורך להמנע משימוש בכימיקלים. נדמה כי </w:t>
      </w:r>
      <w:r w:rsidR="0010714B">
        <w:rPr>
          <w:rFonts w:hint="cs"/>
          <w:sz w:val="24"/>
          <w:rtl/>
        </w:rPr>
        <w:t>כיום</w:t>
      </w:r>
      <w:r w:rsidRPr="00BD49C8">
        <w:rPr>
          <w:rFonts w:hint="cs"/>
          <w:sz w:val="24"/>
          <w:rtl/>
        </w:rPr>
        <w:t xml:space="preserve"> הענף כולו הוא יותר "אורגני" ומודע לסביבה.</w:t>
      </w:r>
      <w:r w:rsidRPr="00BD49C8">
        <w:rPr>
          <w:rFonts w:hint="cs"/>
          <w:sz w:val="24"/>
          <w:rtl/>
        </w:rPr>
        <w:br/>
      </w:r>
    </w:p>
    <w:p w:rsidR="00D0103B" w:rsidRDefault="00D0103B" w:rsidP="00D0103B">
      <w:pPr>
        <w:ind w:left="720"/>
        <w:rPr>
          <w:sz w:val="24"/>
        </w:rPr>
      </w:pPr>
    </w:p>
    <w:p w:rsidR="00D0103B" w:rsidRDefault="00D0103B" w:rsidP="00D0103B">
      <w:pPr>
        <w:ind w:left="720"/>
        <w:rPr>
          <w:sz w:val="24"/>
          <w:rtl/>
        </w:rPr>
      </w:pPr>
    </w:p>
    <w:p w:rsidR="00D0103B" w:rsidRDefault="00D0103B" w:rsidP="00D0103B">
      <w:pPr>
        <w:ind w:left="720"/>
        <w:rPr>
          <w:sz w:val="24"/>
          <w:rtl/>
        </w:rPr>
      </w:pPr>
    </w:p>
    <w:p w:rsidR="00D0103B" w:rsidRDefault="00D0103B" w:rsidP="00D0103B">
      <w:pPr>
        <w:ind w:left="720"/>
        <w:rPr>
          <w:sz w:val="24"/>
          <w:rtl/>
        </w:rPr>
      </w:pPr>
    </w:p>
    <w:p w:rsidR="00D53F57" w:rsidRPr="009D62C6" w:rsidRDefault="00BD49C8" w:rsidP="0010714B">
      <w:pPr>
        <w:ind w:left="284"/>
        <w:rPr>
          <w:b/>
          <w:bCs/>
          <w:sz w:val="24"/>
        </w:rPr>
      </w:pPr>
      <w:r>
        <w:rPr>
          <w:rFonts w:hint="cs"/>
          <w:b/>
          <w:bCs/>
          <w:sz w:val="24"/>
          <w:u w:val="single"/>
          <w:rtl/>
        </w:rPr>
        <w:t xml:space="preserve">5. </w:t>
      </w:r>
      <w:r w:rsidR="00601951">
        <w:rPr>
          <w:rFonts w:hint="cs"/>
          <w:b/>
          <w:bCs/>
          <w:sz w:val="24"/>
          <w:u w:val="single"/>
          <w:rtl/>
        </w:rPr>
        <w:t>ארועים</w:t>
      </w:r>
      <w:r w:rsidR="00D53F57">
        <w:rPr>
          <w:b/>
          <w:bCs/>
          <w:sz w:val="24"/>
          <w:u w:val="single"/>
          <w:rtl/>
        </w:rPr>
        <w:br/>
      </w:r>
      <w:r w:rsidR="00601951">
        <w:rPr>
          <w:rFonts w:hint="cs"/>
          <w:sz w:val="24"/>
          <w:rtl/>
        </w:rPr>
        <w:t xml:space="preserve"> א.  כנסים לסיכום העונה יערכו:</w:t>
      </w:r>
      <w:r w:rsidR="00601951">
        <w:rPr>
          <w:rFonts w:hint="cs"/>
          <w:sz w:val="24"/>
          <w:rtl/>
        </w:rPr>
        <w:br/>
        <w:t xml:space="preserve">      ב-21.2.16 בשעה 09:00 </w:t>
      </w:r>
      <w:proofErr w:type="spellStart"/>
      <w:r w:rsidR="00601951">
        <w:rPr>
          <w:rFonts w:hint="cs"/>
          <w:sz w:val="24"/>
          <w:rtl/>
        </w:rPr>
        <w:t>במילואות</w:t>
      </w:r>
      <w:proofErr w:type="spellEnd"/>
      <w:r w:rsidR="00601951">
        <w:rPr>
          <w:sz w:val="24"/>
          <w:rtl/>
        </w:rPr>
        <w:br/>
      </w:r>
      <w:r w:rsidR="00601951">
        <w:rPr>
          <w:rFonts w:hint="cs"/>
          <w:sz w:val="24"/>
          <w:rtl/>
        </w:rPr>
        <w:t xml:space="preserve">     </w:t>
      </w:r>
      <w:r w:rsidR="00320A0D">
        <w:rPr>
          <w:rFonts w:hint="cs"/>
          <w:sz w:val="24"/>
          <w:rtl/>
        </w:rPr>
        <w:t xml:space="preserve"> </w:t>
      </w:r>
      <w:r w:rsidR="00601951">
        <w:rPr>
          <w:rFonts w:hint="cs"/>
          <w:sz w:val="24"/>
          <w:rtl/>
        </w:rPr>
        <w:t>ב-29.2.16 בשעה 08:00 בחפץ חיים</w:t>
      </w:r>
      <w:r w:rsidR="00601951">
        <w:rPr>
          <w:rFonts w:hint="cs"/>
          <w:sz w:val="24"/>
          <w:rtl/>
        </w:rPr>
        <w:br/>
      </w:r>
      <w:r w:rsidR="00601951">
        <w:rPr>
          <w:sz w:val="24"/>
          <w:rtl/>
        </w:rPr>
        <w:br/>
      </w:r>
      <w:r w:rsidR="00601951">
        <w:rPr>
          <w:rFonts w:hint="cs"/>
          <w:sz w:val="24"/>
          <w:rtl/>
        </w:rPr>
        <w:t>בכנסים ימסרו סיכומים בתחומי הגידול, ההדברה, הניפוט, המיון, כספים, שיווק ועוד.</w:t>
      </w:r>
      <w:r w:rsidR="00601951">
        <w:rPr>
          <w:rFonts w:hint="cs"/>
          <w:sz w:val="24"/>
          <w:rtl/>
        </w:rPr>
        <w:br/>
      </w:r>
      <w:r w:rsidR="00601951">
        <w:rPr>
          <w:rFonts w:hint="cs"/>
          <w:sz w:val="24"/>
          <w:rtl/>
        </w:rPr>
        <w:br/>
        <w:t>ב.  ארוע לציון 60 שנה למועצת הכותנה בשילוב עם טקס פרסי העשור ע"ש סם המבורג,</w:t>
      </w:r>
      <w:r w:rsidR="00601951">
        <w:rPr>
          <w:sz w:val="24"/>
          <w:rtl/>
        </w:rPr>
        <w:br/>
      </w:r>
      <w:r w:rsidR="00601951">
        <w:rPr>
          <w:rFonts w:hint="cs"/>
          <w:sz w:val="24"/>
          <w:rtl/>
        </w:rPr>
        <w:t xml:space="preserve">     יערך ב-1.3.16 אחה"צ בגן שמואל.</w:t>
      </w:r>
      <w:r w:rsidR="00601951">
        <w:rPr>
          <w:sz w:val="24"/>
          <w:rtl/>
        </w:rPr>
        <w:br/>
      </w:r>
      <w:r w:rsidR="00601951">
        <w:rPr>
          <w:rFonts w:hint="cs"/>
          <w:sz w:val="24"/>
          <w:rtl/>
        </w:rPr>
        <w:t xml:space="preserve">     כל אנשי הענף לדורותיהם מוזמנים.</w:t>
      </w:r>
      <w:r w:rsidR="00D0103B">
        <w:rPr>
          <w:rFonts w:hint="cs"/>
          <w:sz w:val="24"/>
          <w:rtl/>
        </w:rPr>
        <w:br/>
      </w:r>
      <w:r w:rsidR="00D0103B" w:rsidRPr="009D62C6">
        <w:rPr>
          <w:rFonts w:hint="cs"/>
          <w:b/>
          <w:bCs/>
          <w:sz w:val="24"/>
          <w:rtl/>
        </w:rPr>
        <w:t xml:space="preserve">    אנו מבקשים מכל המגדלים והאורחים למלא את ולשלוח אלינו הטופס המצורף על מנת </w:t>
      </w:r>
      <w:r w:rsidR="009D62C6">
        <w:rPr>
          <w:b/>
          <w:bCs/>
          <w:sz w:val="24"/>
          <w:rtl/>
        </w:rPr>
        <w:br/>
      </w:r>
      <w:r w:rsidR="009D62C6">
        <w:rPr>
          <w:rFonts w:hint="cs"/>
          <w:b/>
          <w:bCs/>
          <w:sz w:val="24"/>
          <w:rtl/>
        </w:rPr>
        <w:t xml:space="preserve">    שנוכל  </w:t>
      </w:r>
      <w:r w:rsidR="0010714B">
        <w:rPr>
          <w:rFonts w:hint="cs"/>
          <w:b/>
          <w:bCs/>
          <w:sz w:val="24"/>
          <w:rtl/>
        </w:rPr>
        <w:t>להערך</w:t>
      </w:r>
      <w:r w:rsidR="00D0103B" w:rsidRPr="009D62C6">
        <w:rPr>
          <w:rFonts w:hint="cs"/>
          <w:b/>
          <w:bCs/>
          <w:sz w:val="24"/>
          <w:rtl/>
        </w:rPr>
        <w:t xml:space="preserve"> בהתאם.</w:t>
      </w:r>
    </w:p>
    <w:p w:rsidR="00FA6E3A" w:rsidRDefault="00072CA6" w:rsidP="00072CA6">
      <w:pPr>
        <w:ind w:left="360"/>
        <w:jc w:val="center"/>
        <w:rPr>
          <w:sz w:val="24"/>
        </w:rPr>
      </w:pPr>
      <w:r w:rsidRPr="00072CA6">
        <w:rPr>
          <w:noProof/>
          <w:sz w:val="24"/>
          <w:bdr w:val="threeDEmboss" w:sz="24" w:space="0" w:color="auto" w:frame="1"/>
          <w:lang w:eastAsia="en-US"/>
        </w:rPr>
        <w:drawing>
          <wp:inline distT="0" distB="0" distL="0" distR="0">
            <wp:extent cx="3598112" cy="4785304"/>
            <wp:effectExtent l="19050" t="0" r="2338"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608480" cy="4799092"/>
                    </a:xfrm>
                    <a:prstGeom prst="rect">
                      <a:avLst/>
                    </a:prstGeom>
                    <a:noFill/>
                    <a:ln w="9525">
                      <a:noFill/>
                      <a:miter lim="800000"/>
                      <a:headEnd/>
                      <a:tailEnd/>
                    </a:ln>
                  </pic:spPr>
                </pic:pic>
              </a:graphicData>
            </a:graphic>
          </wp:inline>
        </w:drawing>
      </w:r>
    </w:p>
    <w:p w:rsidR="00E93995" w:rsidRDefault="00E93995" w:rsidP="00E93995">
      <w:pPr>
        <w:rPr>
          <w:sz w:val="24"/>
        </w:rPr>
      </w:pPr>
    </w:p>
    <w:p w:rsidR="00D53F57" w:rsidRDefault="0060081A" w:rsidP="00072CA6">
      <w:pPr>
        <w:ind w:left="7920"/>
        <w:rPr>
          <w:sz w:val="24"/>
        </w:rPr>
      </w:pPr>
      <w:r>
        <w:rPr>
          <w:rFonts w:hint="cs"/>
          <w:sz w:val="24"/>
          <w:rtl/>
        </w:rPr>
        <w:t>בברכה,</w:t>
      </w:r>
    </w:p>
    <w:p w:rsidR="00D53F57" w:rsidRPr="00D53F57" w:rsidRDefault="00D53F57" w:rsidP="00D53F57">
      <w:pPr>
        <w:ind w:left="360"/>
        <w:rPr>
          <w:sz w:val="24"/>
        </w:rPr>
      </w:pPr>
      <w:r>
        <w:rPr>
          <w:rFonts w:hint="cs"/>
          <w:b/>
          <w:bCs/>
          <w:sz w:val="24"/>
          <w:u w:val="single"/>
          <w:rtl/>
        </w:rPr>
        <w:t xml:space="preserve"> </w:t>
      </w:r>
    </w:p>
    <w:p w:rsidR="00756950" w:rsidRPr="006E4F8C" w:rsidRDefault="00756950" w:rsidP="00756950">
      <w:pPr>
        <w:jc w:val="center"/>
        <w:rPr>
          <w:rFonts w:asciiTheme="minorBidi" w:hAnsiTheme="minorBidi" w:cstheme="minorBidi"/>
          <w:sz w:val="24"/>
          <w:rtl/>
        </w:rPr>
      </w:pPr>
      <w:r>
        <w:rPr>
          <w:rFonts w:cs="Guttman Yad-Brush" w:hint="cs"/>
          <w:b/>
          <w:bCs/>
          <w:sz w:val="23"/>
          <w:szCs w:val="23"/>
          <w:rtl/>
        </w:rPr>
        <w:tab/>
      </w:r>
      <w:r>
        <w:rPr>
          <w:rFonts w:cs="Guttman Yad-Brush" w:hint="cs"/>
          <w:b/>
          <w:bCs/>
          <w:sz w:val="23"/>
          <w:szCs w:val="23"/>
          <w:rtl/>
        </w:rPr>
        <w:tab/>
      </w:r>
      <w:r>
        <w:rPr>
          <w:rFonts w:cs="Guttman Yad-Brush" w:hint="cs"/>
          <w:b/>
          <w:bCs/>
          <w:sz w:val="23"/>
          <w:szCs w:val="23"/>
          <w:rtl/>
        </w:rPr>
        <w:tab/>
      </w:r>
      <w:r>
        <w:rPr>
          <w:rFonts w:cs="Guttman Yad-Brush" w:hint="cs"/>
          <w:b/>
          <w:bCs/>
          <w:sz w:val="23"/>
          <w:szCs w:val="23"/>
          <w:rtl/>
        </w:rPr>
        <w:tab/>
      </w:r>
      <w:r w:rsidR="00D53F57">
        <w:rPr>
          <w:rFonts w:hint="cs"/>
          <w:noProof/>
          <w:color w:val="0000FF"/>
          <w:rtl/>
          <w:lang w:eastAsia="en-US"/>
        </w:rPr>
        <w:t xml:space="preserve">  </w:t>
      </w:r>
      <w:r w:rsidR="00D53F57">
        <w:rPr>
          <w:rFonts w:hint="cs"/>
          <w:noProof/>
          <w:color w:val="0000FF"/>
          <w:rtl/>
          <w:lang w:eastAsia="en-US"/>
        </w:rPr>
        <w:tab/>
      </w:r>
      <w:r w:rsidR="00D53F57">
        <w:rPr>
          <w:rFonts w:hint="cs"/>
          <w:noProof/>
          <w:color w:val="0000FF"/>
          <w:rtl/>
          <w:lang w:eastAsia="en-US"/>
        </w:rPr>
        <w:tab/>
      </w:r>
      <w:r>
        <w:rPr>
          <w:rFonts w:cs="Guttman Yad-Brush" w:hint="cs"/>
          <w:b/>
          <w:bCs/>
          <w:sz w:val="23"/>
          <w:szCs w:val="23"/>
          <w:rtl/>
        </w:rPr>
        <w:tab/>
      </w:r>
      <w:r>
        <w:rPr>
          <w:rFonts w:cs="Guttman Yad-Brush" w:hint="cs"/>
          <w:b/>
          <w:bCs/>
          <w:sz w:val="23"/>
          <w:szCs w:val="23"/>
          <w:rtl/>
        </w:rPr>
        <w:tab/>
      </w:r>
      <w:r w:rsidRPr="00756950">
        <w:rPr>
          <w:rFonts w:cs="Guttman Yad-Brush" w:hint="cs"/>
          <w:sz w:val="23"/>
          <w:szCs w:val="23"/>
          <w:rtl/>
        </w:rPr>
        <w:t xml:space="preserve">         </w:t>
      </w:r>
      <w:r w:rsidR="006E4F8C">
        <w:rPr>
          <w:rFonts w:cs="Guttman Yad-Brush" w:hint="cs"/>
          <w:sz w:val="23"/>
          <w:szCs w:val="23"/>
          <w:rtl/>
        </w:rPr>
        <w:tab/>
      </w:r>
      <w:r w:rsidR="0060081A">
        <w:rPr>
          <w:rFonts w:cs="Guttman Yad-Brush" w:hint="cs"/>
          <w:sz w:val="23"/>
          <w:szCs w:val="23"/>
          <w:rtl/>
        </w:rPr>
        <w:t xml:space="preserve"> </w:t>
      </w:r>
      <w:r w:rsidRPr="006E4F8C">
        <w:rPr>
          <w:rFonts w:asciiTheme="minorBidi" w:hAnsiTheme="minorBidi" w:cstheme="minorBidi"/>
          <w:sz w:val="24"/>
          <w:rtl/>
        </w:rPr>
        <w:t>אורי גלעד</w:t>
      </w:r>
    </w:p>
    <w:p w:rsidR="00E93995" w:rsidRDefault="00756950" w:rsidP="001A75F2">
      <w:pPr>
        <w:jc w:val="center"/>
        <w:rPr>
          <w:sz w:val="10"/>
          <w:szCs w:val="10"/>
          <w:rtl/>
        </w:rPr>
      </w:pPr>
      <w:r w:rsidRPr="00756950">
        <w:rPr>
          <w:rFonts w:cs="Guttman Yad-Brush" w:hint="cs"/>
          <w:sz w:val="24"/>
          <w:rtl/>
        </w:rPr>
        <w:tab/>
      </w:r>
      <w:r w:rsidRPr="00756950">
        <w:rPr>
          <w:rFonts w:cs="Guttman Yad-Brush" w:hint="cs"/>
          <w:sz w:val="24"/>
          <w:rtl/>
        </w:rPr>
        <w:tab/>
      </w:r>
      <w:r w:rsidRPr="00756950">
        <w:rPr>
          <w:rFonts w:cs="Guttman Yad-Brush" w:hint="cs"/>
          <w:sz w:val="24"/>
          <w:rtl/>
        </w:rPr>
        <w:tab/>
      </w:r>
      <w:r w:rsidRPr="00756950">
        <w:rPr>
          <w:rFonts w:cs="Guttman Yad-Brush" w:hint="cs"/>
          <w:sz w:val="24"/>
          <w:rtl/>
        </w:rPr>
        <w:tab/>
      </w:r>
      <w:r w:rsidRPr="006E4F8C">
        <w:rPr>
          <w:rFonts w:asciiTheme="minorBidi" w:hAnsiTheme="minorBidi" w:cstheme="minorBidi"/>
          <w:sz w:val="24"/>
          <w:rtl/>
        </w:rPr>
        <w:t xml:space="preserve">                    </w:t>
      </w:r>
      <w:r w:rsidR="006E4F8C">
        <w:rPr>
          <w:rFonts w:asciiTheme="minorBidi" w:hAnsiTheme="minorBidi" w:cstheme="minorBidi" w:hint="cs"/>
          <w:sz w:val="24"/>
          <w:rtl/>
        </w:rPr>
        <w:t xml:space="preserve">        </w:t>
      </w:r>
      <w:r w:rsidR="006E4F8C">
        <w:rPr>
          <w:rFonts w:asciiTheme="minorBidi" w:hAnsiTheme="minorBidi" w:cstheme="minorBidi" w:hint="cs"/>
          <w:sz w:val="24"/>
          <w:rtl/>
        </w:rPr>
        <w:tab/>
      </w:r>
      <w:r w:rsidR="006E4F8C">
        <w:rPr>
          <w:rFonts w:asciiTheme="minorBidi" w:hAnsiTheme="minorBidi" w:cstheme="minorBidi" w:hint="cs"/>
          <w:sz w:val="24"/>
          <w:rtl/>
        </w:rPr>
        <w:tab/>
      </w:r>
      <w:r w:rsidR="006E4F8C">
        <w:rPr>
          <w:rFonts w:asciiTheme="minorBidi" w:hAnsiTheme="minorBidi" w:cstheme="minorBidi" w:hint="cs"/>
          <w:sz w:val="24"/>
          <w:rtl/>
        </w:rPr>
        <w:tab/>
      </w:r>
      <w:r w:rsidR="008D4D5A">
        <w:rPr>
          <w:rFonts w:asciiTheme="minorBidi" w:hAnsiTheme="minorBidi" w:cstheme="minorBidi" w:hint="cs"/>
          <w:sz w:val="24"/>
          <w:rtl/>
        </w:rPr>
        <w:tab/>
      </w:r>
      <w:r w:rsidRPr="006E4F8C">
        <w:rPr>
          <w:rFonts w:asciiTheme="minorBidi" w:hAnsiTheme="minorBidi" w:cstheme="minorBidi"/>
          <w:sz w:val="24"/>
          <w:rtl/>
        </w:rPr>
        <w:t>מנכ"ל</w:t>
      </w:r>
    </w:p>
    <w:p w:rsidR="00E93995" w:rsidRDefault="00E93995" w:rsidP="00FD690F">
      <w:pPr>
        <w:ind w:left="720"/>
        <w:rPr>
          <w:sz w:val="10"/>
          <w:szCs w:val="10"/>
          <w:rtl/>
        </w:rPr>
      </w:pPr>
    </w:p>
    <w:p w:rsidR="00E93995" w:rsidRDefault="00E93995" w:rsidP="00FD690F">
      <w:pPr>
        <w:ind w:left="720"/>
        <w:rPr>
          <w:sz w:val="10"/>
          <w:szCs w:val="10"/>
          <w:rtl/>
        </w:rPr>
      </w:pPr>
    </w:p>
    <w:p w:rsidR="00E93995" w:rsidRDefault="00E93995" w:rsidP="00FD690F">
      <w:pPr>
        <w:ind w:left="720"/>
        <w:rPr>
          <w:sz w:val="10"/>
          <w:szCs w:val="10"/>
          <w:rtl/>
        </w:rPr>
      </w:pPr>
    </w:p>
    <w:p w:rsidR="00C46E85" w:rsidRPr="00357B5E" w:rsidRDefault="003316A2" w:rsidP="0007029C">
      <w:pPr>
        <w:ind w:left="720"/>
        <w:rPr>
          <w:sz w:val="10"/>
          <w:szCs w:val="10"/>
          <w:rtl/>
        </w:rPr>
      </w:pPr>
      <w:r>
        <w:rPr>
          <w:rFonts w:hint="cs"/>
          <w:sz w:val="10"/>
          <w:szCs w:val="10"/>
          <w:rtl/>
        </w:rPr>
        <w:t>אורי-מזכירות/ידיעון/</w:t>
      </w:r>
      <w:r w:rsidR="00320A0D">
        <w:rPr>
          <w:rFonts w:hint="cs"/>
          <w:sz w:val="10"/>
          <w:szCs w:val="10"/>
          <w:rtl/>
        </w:rPr>
        <w:t>2016</w:t>
      </w:r>
    </w:p>
    <w:sectPr w:rsidR="00C46E85" w:rsidRPr="00357B5E" w:rsidSect="004E0B0B">
      <w:pgSz w:w="11906" w:h="16838"/>
      <w:pgMar w:top="284" w:right="1276" w:bottom="284" w:left="1276"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7" w:usb1="00000000" w:usb2="00000000" w:usb3="00000000" w:csb0="00000011"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75B"/>
    <w:multiLevelType w:val="hybridMultilevel"/>
    <w:tmpl w:val="4A561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5A1288C"/>
    <w:multiLevelType w:val="hybridMultilevel"/>
    <w:tmpl w:val="36E44B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8464C0"/>
    <w:multiLevelType w:val="hybridMultilevel"/>
    <w:tmpl w:val="EEBEABF0"/>
    <w:lvl w:ilvl="0" w:tplc="CFFEC9E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95C39"/>
    <w:multiLevelType w:val="hybridMultilevel"/>
    <w:tmpl w:val="91F6ED3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efaultTabStop w:val="720"/>
  <w:characterSpacingControl w:val="doNotCompress"/>
  <w:compat/>
  <w:rsids>
    <w:rsidRoot w:val="0071041F"/>
    <w:rsid w:val="00000AA7"/>
    <w:rsid w:val="00012BB6"/>
    <w:rsid w:val="00014C10"/>
    <w:rsid w:val="00022887"/>
    <w:rsid w:val="00023219"/>
    <w:rsid w:val="00045FA8"/>
    <w:rsid w:val="00047AC5"/>
    <w:rsid w:val="0007029C"/>
    <w:rsid w:val="00072CA6"/>
    <w:rsid w:val="00084FE2"/>
    <w:rsid w:val="0009075B"/>
    <w:rsid w:val="00095BF4"/>
    <w:rsid w:val="000A3440"/>
    <w:rsid w:val="000A695C"/>
    <w:rsid w:val="000D1CD5"/>
    <w:rsid w:val="000D2727"/>
    <w:rsid w:val="001021E8"/>
    <w:rsid w:val="001067B9"/>
    <w:rsid w:val="0010714B"/>
    <w:rsid w:val="00117308"/>
    <w:rsid w:val="001230CD"/>
    <w:rsid w:val="00136A46"/>
    <w:rsid w:val="00146225"/>
    <w:rsid w:val="00147DCF"/>
    <w:rsid w:val="00154448"/>
    <w:rsid w:val="00156665"/>
    <w:rsid w:val="00164C64"/>
    <w:rsid w:val="00166BAB"/>
    <w:rsid w:val="001803DB"/>
    <w:rsid w:val="001837ED"/>
    <w:rsid w:val="001861CC"/>
    <w:rsid w:val="001867F6"/>
    <w:rsid w:val="001A74B3"/>
    <w:rsid w:val="001A75F2"/>
    <w:rsid w:val="001B14FE"/>
    <w:rsid w:val="001C2763"/>
    <w:rsid w:val="001C2822"/>
    <w:rsid w:val="001C32B6"/>
    <w:rsid w:val="001C5645"/>
    <w:rsid w:val="001D2487"/>
    <w:rsid w:val="001D70E0"/>
    <w:rsid w:val="001E7621"/>
    <w:rsid w:val="001F2E74"/>
    <w:rsid w:val="00203EFA"/>
    <w:rsid w:val="002044FC"/>
    <w:rsid w:val="00212CD6"/>
    <w:rsid w:val="002147F5"/>
    <w:rsid w:val="00242DDC"/>
    <w:rsid w:val="00247282"/>
    <w:rsid w:val="002563D5"/>
    <w:rsid w:val="0027631A"/>
    <w:rsid w:val="002813CD"/>
    <w:rsid w:val="00285588"/>
    <w:rsid w:val="0029426A"/>
    <w:rsid w:val="002953E5"/>
    <w:rsid w:val="002A36B0"/>
    <w:rsid w:val="002D2E52"/>
    <w:rsid w:val="002E139B"/>
    <w:rsid w:val="002E309A"/>
    <w:rsid w:val="002E6864"/>
    <w:rsid w:val="002E7528"/>
    <w:rsid w:val="002F0C9B"/>
    <w:rsid w:val="002F7B5B"/>
    <w:rsid w:val="0030094E"/>
    <w:rsid w:val="0031476D"/>
    <w:rsid w:val="00316329"/>
    <w:rsid w:val="00320A0D"/>
    <w:rsid w:val="003316A2"/>
    <w:rsid w:val="00335FE6"/>
    <w:rsid w:val="003543F1"/>
    <w:rsid w:val="00357B5E"/>
    <w:rsid w:val="003622F5"/>
    <w:rsid w:val="0036319A"/>
    <w:rsid w:val="00365C84"/>
    <w:rsid w:val="00370C34"/>
    <w:rsid w:val="00371D86"/>
    <w:rsid w:val="003749F4"/>
    <w:rsid w:val="0038350B"/>
    <w:rsid w:val="003854D6"/>
    <w:rsid w:val="003905AD"/>
    <w:rsid w:val="0039218F"/>
    <w:rsid w:val="00393F8A"/>
    <w:rsid w:val="003950B3"/>
    <w:rsid w:val="003C7579"/>
    <w:rsid w:val="003C7DF6"/>
    <w:rsid w:val="003D385D"/>
    <w:rsid w:val="003D3B7C"/>
    <w:rsid w:val="004027C7"/>
    <w:rsid w:val="004065AE"/>
    <w:rsid w:val="004079DC"/>
    <w:rsid w:val="00432908"/>
    <w:rsid w:val="00434512"/>
    <w:rsid w:val="00437141"/>
    <w:rsid w:val="004410C8"/>
    <w:rsid w:val="0045696C"/>
    <w:rsid w:val="00464D4B"/>
    <w:rsid w:val="00476D42"/>
    <w:rsid w:val="00494499"/>
    <w:rsid w:val="004A68AA"/>
    <w:rsid w:val="004A7BE4"/>
    <w:rsid w:val="004B3E70"/>
    <w:rsid w:val="004D084F"/>
    <w:rsid w:val="004E0B0B"/>
    <w:rsid w:val="004E42A6"/>
    <w:rsid w:val="004F0C8F"/>
    <w:rsid w:val="004F4D43"/>
    <w:rsid w:val="004F6B6F"/>
    <w:rsid w:val="005006C9"/>
    <w:rsid w:val="00502CE4"/>
    <w:rsid w:val="00504AC8"/>
    <w:rsid w:val="00505A01"/>
    <w:rsid w:val="005079D4"/>
    <w:rsid w:val="00507F4D"/>
    <w:rsid w:val="005274E8"/>
    <w:rsid w:val="00547AD2"/>
    <w:rsid w:val="00547F97"/>
    <w:rsid w:val="00571E34"/>
    <w:rsid w:val="0058212F"/>
    <w:rsid w:val="005823AD"/>
    <w:rsid w:val="005963D4"/>
    <w:rsid w:val="005A7489"/>
    <w:rsid w:val="005C0BA8"/>
    <w:rsid w:val="005C16BA"/>
    <w:rsid w:val="005D4D4E"/>
    <w:rsid w:val="005D798C"/>
    <w:rsid w:val="005E7AFC"/>
    <w:rsid w:val="005E7B4E"/>
    <w:rsid w:val="0060081A"/>
    <w:rsid w:val="00601951"/>
    <w:rsid w:val="00612363"/>
    <w:rsid w:val="0061373F"/>
    <w:rsid w:val="00633D7A"/>
    <w:rsid w:val="00635747"/>
    <w:rsid w:val="0064122F"/>
    <w:rsid w:val="006512CC"/>
    <w:rsid w:val="00653F73"/>
    <w:rsid w:val="00660F55"/>
    <w:rsid w:val="00663C8E"/>
    <w:rsid w:val="006641EA"/>
    <w:rsid w:val="00687F21"/>
    <w:rsid w:val="00692FCD"/>
    <w:rsid w:val="006D06C8"/>
    <w:rsid w:val="006D3A4A"/>
    <w:rsid w:val="006E0D0C"/>
    <w:rsid w:val="006E44BB"/>
    <w:rsid w:val="006E4F8C"/>
    <w:rsid w:val="006F683E"/>
    <w:rsid w:val="006F7B28"/>
    <w:rsid w:val="0071041F"/>
    <w:rsid w:val="0071093E"/>
    <w:rsid w:val="00727277"/>
    <w:rsid w:val="00730B39"/>
    <w:rsid w:val="0074026F"/>
    <w:rsid w:val="00750B8C"/>
    <w:rsid w:val="00752D06"/>
    <w:rsid w:val="00756950"/>
    <w:rsid w:val="007611A7"/>
    <w:rsid w:val="00781DE8"/>
    <w:rsid w:val="007902C9"/>
    <w:rsid w:val="00795471"/>
    <w:rsid w:val="007A79DF"/>
    <w:rsid w:val="007B3525"/>
    <w:rsid w:val="007E68C3"/>
    <w:rsid w:val="007E7288"/>
    <w:rsid w:val="007F3303"/>
    <w:rsid w:val="00813912"/>
    <w:rsid w:val="00821779"/>
    <w:rsid w:val="008253F1"/>
    <w:rsid w:val="00862A5B"/>
    <w:rsid w:val="00872FBF"/>
    <w:rsid w:val="008744FF"/>
    <w:rsid w:val="00876021"/>
    <w:rsid w:val="00876B3F"/>
    <w:rsid w:val="00895F27"/>
    <w:rsid w:val="008A07C6"/>
    <w:rsid w:val="008A4FED"/>
    <w:rsid w:val="008B1631"/>
    <w:rsid w:val="008B24CF"/>
    <w:rsid w:val="008C4B71"/>
    <w:rsid w:val="008C62A9"/>
    <w:rsid w:val="008C649A"/>
    <w:rsid w:val="008C6BDE"/>
    <w:rsid w:val="008D4D5A"/>
    <w:rsid w:val="008E3679"/>
    <w:rsid w:val="008E40A6"/>
    <w:rsid w:val="008F0124"/>
    <w:rsid w:val="008F02EA"/>
    <w:rsid w:val="008F3251"/>
    <w:rsid w:val="008F49A2"/>
    <w:rsid w:val="00900628"/>
    <w:rsid w:val="009152EE"/>
    <w:rsid w:val="00947F87"/>
    <w:rsid w:val="009535D4"/>
    <w:rsid w:val="0095399B"/>
    <w:rsid w:val="00983702"/>
    <w:rsid w:val="00985C82"/>
    <w:rsid w:val="00986C79"/>
    <w:rsid w:val="009953E8"/>
    <w:rsid w:val="009C7694"/>
    <w:rsid w:val="009D48AA"/>
    <w:rsid w:val="009D62C6"/>
    <w:rsid w:val="009E4A42"/>
    <w:rsid w:val="009E5493"/>
    <w:rsid w:val="009E6B50"/>
    <w:rsid w:val="009F10D2"/>
    <w:rsid w:val="00A03EEC"/>
    <w:rsid w:val="00A11FB7"/>
    <w:rsid w:val="00A1670F"/>
    <w:rsid w:val="00A246DD"/>
    <w:rsid w:val="00A2679C"/>
    <w:rsid w:val="00A426EC"/>
    <w:rsid w:val="00A446AD"/>
    <w:rsid w:val="00A55A21"/>
    <w:rsid w:val="00A64C47"/>
    <w:rsid w:val="00A67E81"/>
    <w:rsid w:val="00A73DC1"/>
    <w:rsid w:val="00A80AA5"/>
    <w:rsid w:val="00A8352F"/>
    <w:rsid w:val="00A86B77"/>
    <w:rsid w:val="00A924BD"/>
    <w:rsid w:val="00A92D47"/>
    <w:rsid w:val="00AA2CA6"/>
    <w:rsid w:val="00AB0FB9"/>
    <w:rsid w:val="00AB1788"/>
    <w:rsid w:val="00AB4230"/>
    <w:rsid w:val="00AD6776"/>
    <w:rsid w:val="00AE36A5"/>
    <w:rsid w:val="00AE415E"/>
    <w:rsid w:val="00AF4E96"/>
    <w:rsid w:val="00B043B2"/>
    <w:rsid w:val="00B14EF7"/>
    <w:rsid w:val="00B3359A"/>
    <w:rsid w:val="00B3529F"/>
    <w:rsid w:val="00B40C41"/>
    <w:rsid w:val="00B63C11"/>
    <w:rsid w:val="00B63DB5"/>
    <w:rsid w:val="00B641A9"/>
    <w:rsid w:val="00B76A4C"/>
    <w:rsid w:val="00BB4E6C"/>
    <w:rsid w:val="00BC5B8D"/>
    <w:rsid w:val="00BC7D01"/>
    <w:rsid w:val="00BD49C8"/>
    <w:rsid w:val="00BD4FEF"/>
    <w:rsid w:val="00BE486A"/>
    <w:rsid w:val="00C076CA"/>
    <w:rsid w:val="00C46E85"/>
    <w:rsid w:val="00C508EA"/>
    <w:rsid w:val="00C5396A"/>
    <w:rsid w:val="00C651CC"/>
    <w:rsid w:val="00C777F0"/>
    <w:rsid w:val="00C874D4"/>
    <w:rsid w:val="00C87768"/>
    <w:rsid w:val="00C92F84"/>
    <w:rsid w:val="00CA5C37"/>
    <w:rsid w:val="00CB0239"/>
    <w:rsid w:val="00CB4759"/>
    <w:rsid w:val="00CC5CE4"/>
    <w:rsid w:val="00CD1D08"/>
    <w:rsid w:val="00CE3F14"/>
    <w:rsid w:val="00CE5AEF"/>
    <w:rsid w:val="00CF5BE6"/>
    <w:rsid w:val="00CF67B2"/>
    <w:rsid w:val="00D0103B"/>
    <w:rsid w:val="00D04CB5"/>
    <w:rsid w:val="00D057EE"/>
    <w:rsid w:val="00D07AF3"/>
    <w:rsid w:val="00D172D9"/>
    <w:rsid w:val="00D21D63"/>
    <w:rsid w:val="00D325D3"/>
    <w:rsid w:val="00D531F7"/>
    <w:rsid w:val="00D53F57"/>
    <w:rsid w:val="00D57878"/>
    <w:rsid w:val="00D63C19"/>
    <w:rsid w:val="00D66368"/>
    <w:rsid w:val="00D676DD"/>
    <w:rsid w:val="00D8429F"/>
    <w:rsid w:val="00D85BC9"/>
    <w:rsid w:val="00D87D4E"/>
    <w:rsid w:val="00DB4576"/>
    <w:rsid w:val="00DB5EE9"/>
    <w:rsid w:val="00DD2CDD"/>
    <w:rsid w:val="00DD7B59"/>
    <w:rsid w:val="00DE5C09"/>
    <w:rsid w:val="00DF38B4"/>
    <w:rsid w:val="00DF7536"/>
    <w:rsid w:val="00E25659"/>
    <w:rsid w:val="00E3593B"/>
    <w:rsid w:val="00E46EDB"/>
    <w:rsid w:val="00E56366"/>
    <w:rsid w:val="00E56A52"/>
    <w:rsid w:val="00E63F6C"/>
    <w:rsid w:val="00E6486E"/>
    <w:rsid w:val="00E72E47"/>
    <w:rsid w:val="00E93995"/>
    <w:rsid w:val="00E9506B"/>
    <w:rsid w:val="00E9760E"/>
    <w:rsid w:val="00EA3667"/>
    <w:rsid w:val="00EC797D"/>
    <w:rsid w:val="00ED1654"/>
    <w:rsid w:val="00F00363"/>
    <w:rsid w:val="00F021BC"/>
    <w:rsid w:val="00F136E5"/>
    <w:rsid w:val="00F24F33"/>
    <w:rsid w:val="00F413EA"/>
    <w:rsid w:val="00F522AA"/>
    <w:rsid w:val="00F84A64"/>
    <w:rsid w:val="00FA6E3A"/>
    <w:rsid w:val="00FC5FE1"/>
    <w:rsid w:val="00FD690F"/>
    <w:rsid w:val="00FF113A"/>
    <w:rsid w:val="00FF555A"/>
    <w:rsid w:val="00FF5FBE"/>
    <w:rsid w:val="00FF725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0E"/>
    <w:pPr>
      <w:bidi/>
      <w:spacing w:line="312" w:lineRule="auto"/>
    </w:pPr>
    <w:rPr>
      <w:rFonts w:ascii="Times New Roman" w:eastAsia="MS Mincho" w:hAnsi="Times New Roman"/>
      <w:szCs w:val="24"/>
      <w:lang w:eastAsia="he-IL"/>
    </w:rPr>
  </w:style>
  <w:style w:type="paragraph" w:styleId="1">
    <w:name w:val="heading 1"/>
    <w:basedOn w:val="a"/>
    <w:next w:val="a"/>
    <w:link w:val="10"/>
    <w:qFormat/>
    <w:rsid w:val="00E9760E"/>
    <w:pPr>
      <w:keepNext/>
      <w:jc w:val="both"/>
      <w:outlineLvl w:val="0"/>
    </w:pPr>
    <w:rPr>
      <w:sz w:val="28"/>
      <w:szCs w:val="34"/>
      <w:u w:val="single"/>
    </w:rPr>
  </w:style>
  <w:style w:type="paragraph" w:styleId="2">
    <w:name w:val="heading 2"/>
    <w:basedOn w:val="a"/>
    <w:next w:val="a"/>
    <w:link w:val="20"/>
    <w:qFormat/>
    <w:rsid w:val="00E9760E"/>
    <w:pPr>
      <w:keepNext/>
      <w:spacing w:line="264" w:lineRule="auto"/>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9760E"/>
    <w:rPr>
      <w:rFonts w:ascii="Times New Roman" w:eastAsia="MS Mincho" w:hAnsi="Times New Roman" w:cs="Arial"/>
      <w:noProof/>
      <w:sz w:val="28"/>
      <w:szCs w:val="34"/>
      <w:u w:val="single"/>
      <w:lang w:eastAsia="he-IL"/>
    </w:rPr>
  </w:style>
  <w:style w:type="character" w:customStyle="1" w:styleId="20">
    <w:name w:val="כותרת 2 תו"/>
    <w:basedOn w:val="a0"/>
    <w:link w:val="2"/>
    <w:rsid w:val="00E9760E"/>
    <w:rPr>
      <w:rFonts w:ascii="Times New Roman" w:eastAsia="MS Mincho" w:hAnsi="Times New Roman" w:cs="Arial"/>
      <w:b/>
      <w:bCs/>
      <w:noProof/>
      <w:sz w:val="24"/>
      <w:szCs w:val="24"/>
      <w:lang w:eastAsia="he-IL"/>
    </w:rPr>
  </w:style>
  <w:style w:type="table" w:styleId="a3">
    <w:name w:val="Table Grid"/>
    <w:basedOn w:val="a1"/>
    <w:uiPriority w:val="59"/>
    <w:rsid w:val="00710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212F"/>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58212F"/>
    <w:rPr>
      <w:rFonts w:ascii="Tahoma" w:eastAsia="MS Mincho" w:hAnsi="Tahoma" w:cs="Tahoma"/>
      <w:sz w:val="16"/>
      <w:szCs w:val="16"/>
      <w:lang w:eastAsia="he-IL"/>
    </w:rPr>
  </w:style>
  <w:style w:type="paragraph" w:styleId="a6">
    <w:name w:val="List Paragraph"/>
    <w:basedOn w:val="a"/>
    <w:uiPriority w:val="34"/>
    <w:qFormat/>
    <w:rsid w:val="00212C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Mali\DOT\&#1491;&#1507;%20&#1500;&#1493;&#1490;&#1493;%20&#1502;&#1500;&#1497;%20&#1495;&#1491;&#15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174D4-4B55-49EF-BD34-C3682FBD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מלי חדש.dotx</Template>
  <TotalTime>23</TotalTime>
  <Pages>2</Pages>
  <Words>414</Words>
  <Characters>2070</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2016-02-07T12:05:00Z</cp:lastPrinted>
  <dcterms:created xsi:type="dcterms:W3CDTF">2016-02-07T11:49:00Z</dcterms:created>
  <dcterms:modified xsi:type="dcterms:W3CDTF">2016-02-07T12:28:00Z</dcterms:modified>
</cp:coreProperties>
</file>