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A73DC1" w:rsidRDefault="00346869" w:rsidP="00E9760E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346869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15pt;margin-top:9pt;width:42.75pt;height:51pt;z-index:251657728">
            <v:imagedata r:id="rId6" o:title=""/>
            <w10:wrap type="square" side="left"/>
          </v:shape>
          <o:OLEObject Type="Embed" ProgID="CorelDRAW.Graphic.6" ShapeID="_x0000_s1026" DrawAspect="Content" ObjectID="_1548140655" r:id="rId7"/>
        </w:pict>
      </w:r>
      <w:r w:rsidR="00E9760E"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E9760E" w:rsidRPr="00A73DC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Pr="00A73DC1" w:rsidRDefault="00E9760E" w:rsidP="00E9760E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8C62A9" w:rsidRPr="00AB0056" w:rsidRDefault="0071041F" w:rsidP="00F136E5">
      <w:pPr>
        <w:rPr>
          <w:sz w:val="22"/>
          <w:szCs w:val="22"/>
          <w:rtl/>
        </w:rPr>
      </w:pP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370C34" w:rsidRPr="00AB0056">
        <w:rPr>
          <w:rFonts w:hint="cs"/>
          <w:sz w:val="22"/>
          <w:szCs w:val="22"/>
          <w:rtl/>
        </w:rPr>
        <w:tab/>
      </w:r>
    </w:p>
    <w:p w:rsidR="003728DA" w:rsidRDefault="003728DA" w:rsidP="00D76B6E">
      <w:pPr>
        <w:ind w:left="6480"/>
        <w:rPr>
          <w:sz w:val="23"/>
          <w:szCs w:val="23"/>
          <w:rtl/>
        </w:rPr>
      </w:pPr>
    </w:p>
    <w:p w:rsidR="001230CD" w:rsidRPr="00A54DD9" w:rsidRDefault="002063B8" w:rsidP="00A218CC">
      <w:pPr>
        <w:ind w:left="6480" w:firstLine="720"/>
        <w:rPr>
          <w:sz w:val="24"/>
          <w:rtl/>
        </w:rPr>
      </w:pPr>
      <w:r w:rsidRPr="00A54DD9">
        <w:rPr>
          <w:rFonts w:hint="cs"/>
          <w:sz w:val="24"/>
          <w:rtl/>
        </w:rPr>
        <w:t>9 בפברואר</w:t>
      </w:r>
      <w:r w:rsidR="001845D3" w:rsidRPr="00A54DD9">
        <w:rPr>
          <w:rFonts w:hint="cs"/>
          <w:sz w:val="24"/>
          <w:rtl/>
        </w:rPr>
        <w:t xml:space="preserve"> </w:t>
      </w:r>
      <w:r w:rsidR="00A218CC" w:rsidRPr="00A54DD9">
        <w:rPr>
          <w:rFonts w:hint="cs"/>
          <w:sz w:val="24"/>
          <w:rtl/>
        </w:rPr>
        <w:t xml:space="preserve"> 2017</w:t>
      </w:r>
    </w:p>
    <w:p w:rsidR="00C0405B" w:rsidRPr="00A54DD9" w:rsidRDefault="00365C84" w:rsidP="00FC201A">
      <w:pPr>
        <w:ind w:left="282"/>
        <w:rPr>
          <w:sz w:val="24"/>
          <w:rtl/>
        </w:rPr>
      </w:pPr>
      <w:r w:rsidRPr="00A54DD9">
        <w:rPr>
          <w:rFonts w:hint="cs"/>
          <w:sz w:val="24"/>
          <w:rtl/>
        </w:rPr>
        <w:t>למגדלים שלום,</w:t>
      </w:r>
    </w:p>
    <w:p w:rsidR="002063B8" w:rsidRPr="00A54DD9" w:rsidRDefault="003543F1" w:rsidP="002552B8">
      <w:pPr>
        <w:ind w:left="282"/>
        <w:rPr>
          <w:rFonts w:hint="cs"/>
          <w:b/>
          <w:bCs/>
          <w:sz w:val="24"/>
          <w:u w:val="single"/>
          <w:rtl/>
        </w:rPr>
      </w:pPr>
      <w:r w:rsidRPr="00A54DD9">
        <w:rPr>
          <w:rFonts w:hint="cs"/>
          <w:sz w:val="24"/>
          <w:rtl/>
        </w:rPr>
        <w:br/>
      </w:r>
      <w:r w:rsidR="002063B8" w:rsidRPr="00A54DD9">
        <w:rPr>
          <w:rFonts w:hint="cs"/>
          <w:b/>
          <w:bCs/>
          <w:sz w:val="24"/>
          <w:u w:val="single"/>
          <w:rtl/>
        </w:rPr>
        <w:t xml:space="preserve">פיצוי קנט </w:t>
      </w:r>
      <w:r w:rsidR="002063B8" w:rsidRPr="00A54DD9">
        <w:rPr>
          <w:b/>
          <w:bCs/>
          <w:sz w:val="24"/>
          <w:u w:val="single"/>
          <w:rtl/>
        </w:rPr>
        <w:t>–</w:t>
      </w:r>
      <w:r w:rsidR="002063B8" w:rsidRPr="00A54DD9">
        <w:rPr>
          <w:rFonts w:hint="cs"/>
          <w:b/>
          <w:bCs/>
          <w:sz w:val="24"/>
          <w:u w:val="single"/>
          <w:rtl/>
        </w:rPr>
        <w:t xml:space="preserve"> </w:t>
      </w:r>
      <w:r w:rsidR="002552B8">
        <w:rPr>
          <w:rFonts w:hint="cs"/>
          <w:b/>
          <w:bCs/>
          <w:sz w:val="24"/>
          <w:u w:val="single"/>
          <w:rtl/>
        </w:rPr>
        <w:t>עונת</w:t>
      </w:r>
      <w:r w:rsidR="002063B8" w:rsidRPr="00A54DD9">
        <w:rPr>
          <w:rFonts w:hint="cs"/>
          <w:b/>
          <w:bCs/>
          <w:sz w:val="24"/>
          <w:u w:val="single"/>
          <w:rtl/>
        </w:rPr>
        <w:t xml:space="preserve"> 2016</w:t>
      </w:r>
    </w:p>
    <w:p w:rsidR="002063B8" w:rsidRPr="00A54DD9" w:rsidRDefault="002063B8" w:rsidP="00A54DD9">
      <w:pPr>
        <w:spacing w:line="360" w:lineRule="auto"/>
        <w:ind w:left="282"/>
        <w:rPr>
          <w:rFonts w:hint="cs"/>
          <w:sz w:val="24"/>
          <w:rtl/>
        </w:rPr>
      </w:pPr>
      <w:r w:rsidRPr="00A54DD9">
        <w:rPr>
          <w:rFonts w:hint="cs"/>
          <w:sz w:val="24"/>
          <w:rtl/>
        </w:rPr>
        <w:t>לאחר סיום הניפוט, המיון וניתוח הנתונים, נקבע הפיצוי למגדלים ע"י קנט לעונת 2016.</w:t>
      </w:r>
      <w:r w:rsidRPr="00A54DD9">
        <w:rPr>
          <w:sz w:val="24"/>
          <w:rtl/>
        </w:rPr>
        <w:br/>
      </w:r>
      <w:r w:rsidRPr="00A54DD9">
        <w:rPr>
          <w:rFonts w:hint="cs"/>
          <w:sz w:val="24"/>
          <w:rtl/>
        </w:rPr>
        <w:t>עיקר הפיצוי הוא בגין פחיתת יבול לפי סעיף הנזק האזורי.</w:t>
      </w:r>
      <w:r w:rsidRPr="00A54DD9">
        <w:rPr>
          <w:sz w:val="24"/>
          <w:rtl/>
        </w:rPr>
        <w:br/>
      </w:r>
      <w:r w:rsidRPr="00A54DD9">
        <w:rPr>
          <w:rFonts w:hint="cs"/>
          <w:sz w:val="24"/>
          <w:rtl/>
        </w:rPr>
        <w:t xml:space="preserve">בזן הפימה, כל האזורים הוכרו כאזורים נפגעים כך שכל מגדל נפגע </w:t>
      </w:r>
      <w:r w:rsidR="00A54DD9">
        <w:rPr>
          <w:rFonts w:hint="cs"/>
          <w:sz w:val="24"/>
          <w:rtl/>
        </w:rPr>
        <w:t>יפוצה</w:t>
      </w:r>
      <w:r w:rsidRPr="00A54DD9">
        <w:rPr>
          <w:rFonts w:hint="cs"/>
          <w:sz w:val="24"/>
          <w:rtl/>
        </w:rPr>
        <w:t xml:space="preserve"> לפי הקריטריונים.</w:t>
      </w:r>
      <w:r w:rsidRPr="00A54DD9">
        <w:rPr>
          <w:sz w:val="24"/>
          <w:rtl/>
        </w:rPr>
        <w:br/>
      </w:r>
      <w:r w:rsidRPr="00A54DD9">
        <w:rPr>
          <w:rFonts w:hint="cs"/>
          <w:sz w:val="24"/>
          <w:rtl/>
        </w:rPr>
        <w:t>סך הפיצוי לענף כ-10 מליון ₪.</w:t>
      </w:r>
      <w:r w:rsidRPr="00A54DD9">
        <w:rPr>
          <w:sz w:val="24"/>
          <w:rtl/>
        </w:rPr>
        <w:br/>
      </w:r>
      <w:r w:rsidRPr="00A54DD9">
        <w:rPr>
          <w:rFonts w:hint="cs"/>
          <w:sz w:val="24"/>
          <w:rtl/>
        </w:rPr>
        <w:t>הכסף יועבר למגדלים במהלך חודש פברואר.</w:t>
      </w:r>
    </w:p>
    <w:p w:rsidR="002063B8" w:rsidRPr="00A54DD9" w:rsidRDefault="002063B8" w:rsidP="002063B8">
      <w:pPr>
        <w:ind w:left="282"/>
        <w:rPr>
          <w:rFonts w:hint="cs"/>
          <w:sz w:val="24"/>
          <w:rtl/>
        </w:rPr>
      </w:pPr>
    </w:p>
    <w:p w:rsidR="002063B8" w:rsidRPr="00A54DD9" w:rsidRDefault="002063B8" w:rsidP="002063B8">
      <w:pPr>
        <w:spacing w:line="360" w:lineRule="auto"/>
        <w:ind w:left="282"/>
        <w:rPr>
          <w:rFonts w:hint="cs"/>
          <w:sz w:val="24"/>
          <w:rtl/>
        </w:rPr>
      </w:pPr>
      <w:r w:rsidRPr="00A54DD9">
        <w:rPr>
          <w:rFonts w:hint="cs"/>
          <w:b/>
          <w:bCs/>
          <w:sz w:val="24"/>
          <w:u w:val="single"/>
          <w:rtl/>
        </w:rPr>
        <w:t>החזר בגין כיסויים לגליליות</w:t>
      </w:r>
      <w:r w:rsidRPr="00A54DD9">
        <w:rPr>
          <w:b/>
          <w:bCs/>
          <w:sz w:val="24"/>
          <w:u w:val="single"/>
          <w:rtl/>
        </w:rPr>
        <w:br/>
      </w:r>
      <w:r w:rsidRPr="00A54DD9">
        <w:rPr>
          <w:rFonts w:hint="cs"/>
          <w:sz w:val="24"/>
          <w:rtl/>
        </w:rPr>
        <w:t>על פי סיכום עם תמה, תזוכה המועצה בסך 30,000$ בגין השתתפות תמה בניסוי עטיפות צבעוניות בעונת 2016. הסכום כולו יועבר למגדלים לפי כמות השימוש בעטיפות.</w:t>
      </w:r>
    </w:p>
    <w:p w:rsidR="002063B8" w:rsidRPr="00A54DD9" w:rsidRDefault="002063B8" w:rsidP="002063B8">
      <w:pPr>
        <w:ind w:left="282"/>
        <w:rPr>
          <w:rFonts w:hint="cs"/>
          <w:sz w:val="24"/>
          <w:rtl/>
        </w:rPr>
      </w:pPr>
    </w:p>
    <w:p w:rsidR="002063B8" w:rsidRPr="00A54DD9" w:rsidRDefault="002063B8" w:rsidP="002063B8">
      <w:pPr>
        <w:ind w:left="282"/>
        <w:rPr>
          <w:rFonts w:hint="cs"/>
          <w:b/>
          <w:bCs/>
          <w:sz w:val="24"/>
          <w:u w:val="single"/>
          <w:rtl/>
        </w:rPr>
      </w:pPr>
      <w:r w:rsidRPr="00A54DD9">
        <w:rPr>
          <w:rFonts w:hint="cs"/>
          <w:b/>
          <w:bCs/>
          <w:sz w:val="24"/>
          <w:u w:val="single"/>
          <w:rtl/>
        </w:rPr>
        <w:t>הצהרת מזרע ראשונה</w:t>
      </w:r>
    </w:p>
    <w:p w:rsidR="002063B8" w:rsidRPr="00A54DD9" w:rsidRDefault="002063B8" w:rsidP="002063B8">
      <w:pPr>
        <w:spacing w:line="360" w:lineRule="auto"/>
        <w:ind w:left="282"/>
        <w:rPr>
          <w:rFonts w:hint="cs"/>
          <w:sz w:val="24"/>
          <w:rtl/>
        </w:rPr>
      </w:pPr>
      <w:r w:rsidRPr="00A54DD9">
        <w:rPr>
          <w:rFonts w:hint="cs"/>
          <w:sz w:val="24"/>
          <w:rtl/>
        </w:rPr>
        <w:t>מזרע הכותנה עומד בפתח.</w:t>
      </w:r>
    </w:p>
    <w:p w:rsidR="002063B8" w:rsidRPr="00A54DD9" w:rsidRDefault="002063B8" w:rsidP="002063B8">
      <w:pPr>
        <w:spacing w:line="360" w:lineRule="auto"/>
        <w:ind w:left="282"/>
        <w:rPr>
          <w:rFonts w:hint="cs"/>
          <w:sz w:val="24"/>
          <w:rtl/>
        </w:rPr>
      </w:pPr>
      <w:r w:rsidRPr="00A54DD9">
        <w:rPr>
          <w:rFonts w:hint="cs"/>
          <w:sz w:val="24"/>
          <w:rtl/>
        </w:rPr>
        <w:t>טפסי הצהרת מזרע ראשונים הועברו למגדלים. לנתונים אלה חשיבות רבה.</w:t>
      </w:r>
    </w:p>
    <w:p w:rsidR="002063B8" w:rsidRPr="00A54DD9" w:rsidRDefault="002063B8" w:rsidP="002063B8">
      <w:pPr>
        <w:spacing w:line="360" w:lineRule="auto"/>
        <w:ind w:left="282"/>
        <w:rPr>
          <w:rFonts w:hint="cs"/>
          <w:sz w:val="24"/>
          <w:rtl/>
        </w:rPr>
      </w:pPr>
      <w:r w:rsidRPr="00A54DD9">
        <w:rPr>
          <w:rFonts w:hint="cs"/>
          <w:sz w:val="24"/>
          <w:rtl/>
        </w:rPr>
        <w:t>אנא החזירו את הטפסים בהקדם.</w:t>
      </w:r>
    </w:p>
    <w:p w:rsidR="002063B8" w:rsidRPr="00A54DD9" w:rsidRDefault="002063B8" w:rsidP="002063B8">
      <w:pPr>
        <w:ind w:left="282"/>
        <w:rPr>
          <w:rFonts w:hint="cs"/>
          <w:sz w:val="24"/>
          <w:rtl/>
        </w:rPr>
      </w:pPr>
    </w:p>
    <w:p w:rsidR="00D63DCB" w:rsidRPr="00A54DD9" w:rsidRDefault="002063B8" w:rsidP="002063B8">
      <w:pPr>
        <w:ind w:left="140"/>
        <w:rPr>
          <w:b/>
          <w:bCs/>
          <w:sz w:val="24"/>
          <w:u w:val="single"/>
          <w:rtl/>
        </w:rPr>
      </w:pPr>
      <w:r w:rsidRPr="00A54DD9">
        <w:rPr>
          <w:rFonts w:hint="cs"/>
          <w:b/>
          <w:bCs/>
          <w:sz w:val="24"/>
          <w:u w:val="single"/>
          <w:rtl/>
        </w:rPr>
        <w:t>ארוע לסיכום העונה</w:t>
      </w:r>
      <w:r w:rsidR="00D63DCB" w:rsidRPr="00A54DD9">
        <w:rPr>
          <w:rFonts w:hint="cs"/>
          <w:b/>
          <w:bCs/>
          <w:sz w:val="24"/>
          <w:u w:val="single"/>
          <w:rtl/>
        </w:rPr>
        <w:t xml:space="preserve"> וטקס </w:t>
      </w:r>
      <w:r w:rsidRPr="00A54DD9">
        <w:rPr>
          <w:rFonts w:hint="cs"/>
          <w:b/>
          <w:bCs/>
          <w:sz w:val="24"/>
          <w:u w:val="single"/>
          <w:rtl/>
        </w:rPr>
        <w:t xml:space="preserve">ע"ש </w:t>
      </w:r>
      <w:r w:rsidR="00D63DCB" w:rsidRPr="00A54DD9">
        <w:rPr>
          <w:rFonts w:hint="cs"/>
          <w:b/>
          <w:bCs/>
          <w:sz w:val="24"/>
          <w:u w:val="single"/>
          <w:rtl/>
        </w:rPr>
        <w:t>סם המבורג</w:t>
      </w:r>
    </w:p>
    <w:p w:rsidR="00E26B7B" w:rsidRPr="00A54DD9" w:rsidRDefault="002063B8" w:rsidP="00094656">
      <w:pPr>
        <w:spacing w:line="360" w:lineRule="auto"/>
        <w:ind w:left="140"/>
        <w:rPr>
          <w:sz w:val="24"/>
          <w:rtl/>
        </w:rPr>
      </w:pPr>
      <w:r w:rsidRPr="00A54DD9">
        <w:rPr>
          <w:rFonts w:hint="cs"/>
          <w:sz w:val="24"/>
          <w:rtl/>
        </w:rPr>
        <w:t>ה</w:t>
      </w:r>
      <w:r w:rsidR="00D63DCB" w:rsidRPr="00A54DD9">
        <w:rPr>
          <w:rFonts w:hint="cs"/>
          <w:sz w:val="24"/>
          <w:rtl/>
        </w:rPr>
        <w:t xml:space="preserve">כנס הארצי </w:t>
      </w:r>
      <w:r w:rsidRPr="00A54DD9">
        <w:rPr>
          <w:rFonts w:hint="cs"/>
          <w:sz w:val="24"/>
          <w:rtl/>
        </w:rPr>
        <w:t xml:space="preserve">השנתי </w:t>
      </w:r>
      <w:r w:rsidR="00D63DCB" w:rsidRPr="00A54DD9">
        <w:rPr>
          <w:rFonts w:hint="cs"/>
          <w:sz w:val="24"/>
          <w:rtl/>
        </w:rPr>
        <w:t xml:space="preserve">לסיכום </w:t>
      </w:r>
      <w:r w:rsidRPr="00A54DD9">
        <w:rPr>
          <w:rFonts w:hint="cs"/>
          <w:sz w:val="24"/>
          <w:rtl/>
        </w:rPr>
        <w:t xml:space="preserve">עונת 2016 </w:t>
      </w:r>
      <w:r w:rsidR="00D63DCB" w:rsidRPr="00A54DD9">
        <w:rPr>
          <w:rFonts w:hint="cs"/>
          <w:sz w:val="24"/>
          <w:rtl/>
        </w:rPr>
        <w:t xml:space="preserve"> </w:t>
      </w:r>
      <w:r w:rsidRPr="00A54DD9">
        <w:rPr>
          <w:rFonts w:hint="cs"/>
          <w:sz w:val="24"/>
          <w:rtl/>
        </w:rPr>
        <w:t>ו</w:t>
      </w:r>
      <w:r w:rsidR="00D63DCB" w:rsidRPr="00A54DD9">
        <w:rPr>
          <w:rFonts w:hint="cs"/>
          <w:sz w:val="24"/>
          <w:rtl/>
        </w:rPr>
        <w:t xml:space="preserve">טקס </w:t>
      </w:r>
      <w:r w:rsidRPr="00A54DD9">
        <w:rPr>
          <w:rFonts w:hint="cs"/>
          <w:sz w:val="24"/>
          <w:rtl/>
        </w:rPr>
        <w:t>ע"ש סם המבורג יערכו</w:t>
      </w:r>
      <w:r w:rsidR="00D63DCB" w:rsidRPr="00A54DD9">
        <w:rPr>
          <w:rFonts w:hint="cs"/>
          <w:sz w:val="24"/>
          <w:rtl/>
        </w:rPr>
        <w:t xml:space="preserve"> </w:t>
      </w:r>
      <w:r w:rsidR="00FB12E4" w:rsidRPr="00A54DD9">
        <w:rPr>
          <w:rFonts w:hint="cs"/>
          <w:sz w:val="24"/>
          <w:rtl/>
        </w:rPr>
        <w:t xml:space="preserve">ב- </w:t>
      </w:r>
      <w:r w:rsidRPr="00A54DD9">
        <w:rPr>
          <w:rFonts w:hint="cs"/>
          <w:b/>
          <w:bCs/>
          <w:sz w:val="24"/>
          <w:rtl/>
        </w:rPr>
        <w:t xml:space="preserve">26.2.17 </w:t>
      </w:r>
      <w:r w:rsidR="00D63DCB" w:rsidRPr="00A54DD9">
        <w:rPr>
          <w:rFonts w:hint="cs"/>
          <w:sz w:val="24"/>
          <w:rtl/>
        </w:rPr>
        <w:t>בקבוץ צובה</w:t>
      </w:r>
      <w:r w:rsidR="00094656">
        <w:rPr>
          <w:rFonts w:hint="cs"/>
          <w:sz w:val="24"/>
          <w:rtl/>
        </w:rPr>
        <w:t>.</w:t>
      </w:r>
      <w:r w:rsidR="00D63DCB" w:rsidRPr="00A54DD9">
        <w:rPr>
          <w:rFonts w:hint="cs"/>
          <w:sz w:val="24"/>
          <w:rtl/>
        </w:rPr>
        <w:t xml:space="preserve"> </w:t>
      </w:r>
      <w:r w:rsidR="00D63DCB" w:rsidRPr="00A54DD9">
        <w:rPr>
          <w:sz w:val="24"/>
          <w:rtl/>
        </w:rPr>
        <w:br/>
      </w:r>
      <w:r w:rsidRPr="00A54DD9">
        <w:rPr>
          <w:rFonts w:hint="cs"/>
          <w:sz w:val="24"/>
          <w:rtl/>
        </w:rPr>
        <w:t xml:space="preserve">יהיה </w:t>
      </w:r>
      <w:proofErr w:type="spellStart"/>
      <w:r w:rsidRPr="00A54DD9">
        <w:rPr>
          <w:rFonts w:hint="cs"/>
          <w:sz w:val="24"/>
          <w:rtl/>
        </w:rPr>
        <w:t>מענין</w:t>
      </w:r>
      <w:proofErr w:type="spellEnd"/>
      <w:r w:rsidRPr="00A54DD9">
        <w:rPr>
          <w:rFonts w:hint="cs"/>
          <w:sz w:val="24"/>
          <w:rtl/>
        </w:rPr>
        <w:t>, טעים וחברה טובה,</w:t>
      </w:r>
    </w:p>
    <w:p w:rsidR="00D63DCB" w:rsidRPr="00A54DD9" w:rsidRDefault="00ED45A9" w:rsidP="00C96463">
      <w:pPr>
        <w:ind w:left="140"/>
        <w:rPr>
          <w:sz w:val="24"/>
          <w:rtl/>
        </w:rPr>
      </w:pPr>
      <w:r w:rsidRPr="00A54DD9">
        <w:rPr>
          <w:rFonts w:hint="cs"/>
          <w:sz w:val="24"/>
          <w:rtl/>
        </w:rPr>
        <w:t xml:space="preserve"> </w:t>
      </w:r>
    </w:p>
    <w:p w:rsidR="00CC63A8" w:rsidRPr="00A54DD9" w:rsidRDefault="00CC63A8" w:rsidP="00850671">
      <w:pPr>
        <w:ind w:left="140"/>
        <w:rPr>
          <w:sz w:val="24"/>
          <w:rtl/>
        </w:rPr>
      </w:pPr>
    </w:p>
    <w:p w:rsidR="003728DA" w:rsidRPr="00A54DD9" w:rsidRDefault="003728DA" w:rsidP="00850671">
      <w:pPr>
        <w:ind w:left="140"/>
        <w:rPr>
          <w:sz w:val="24"/>
          <w:rtl/>
        </w:rPr>
      </w:pPr>
    </w:p>
    <w:p w:rsidR="00343B4E" w:rsidRPr="00A54DD9" w:rsidRDefault="00343B4E" w:rsidP="002D5739">
      <w:pPr>
        <w:ind w:left="140"/>
        <w:jc w:val="center"/>
        <w:rPr>
          <w:sz w:val="24"/>
          <w:rtl/>
        </w:rPr>
      </w:pPr>
    </w:p>
    <w:p w:rsidR="008B4B54" w:rsidRPr="00A54DD9" w:rsidRDefault="00850671" w:rsidP="00D63DCB">
      <w:pPr>
        <w:ind w:left="140"/>
        <w:jc w:val="center"/>
        <w:rPr>
          <w:sz w:val="24"/>
          <w:rtl/>
        </w:rPr>
      </w:pPr>
      <w:r w:rsidRPr="00A54DD9">
        <w:rPr>
          <w:rFonts w:hint="cs"/>
          <w:sz w:val="24"/>
          <w:rtl/>
        </w:rPr>
        <w:t xml:space="preserve"> </w:t>
      </w:r>
      <w:r w:rsidR="009E4BDE" w:rsidRPr="00A54DD9">
        <w:rPr>
          <w:rFonts w:hint="cs"/>
          <w:b/>
          <w:bCs/>
          <w:sz w:val="24"/>
          <w:u w:val="single"/>
          <w:rtl/>
        </w:rPr>
        <w:t xml:space="preserve"> </w:t>
      </w:r>
    </w:p>
    <w:p w:rsidR="00D53F57" w:rsidRPr="00A54DD9" w:rsidRDefault="00D53F57" w:rsidP="00F92EC7">
      <w:pPr>
        <w:jc w:val="center"/>
        <w:rPr>
          <w:sz w:val="24"/>
        </w:rPr>
      </w:pPr>
    </w:p>
    <w:p w:rsidR="00756950" w:rsidRPr="00A54DD9" w:rsidRDefault="00756950" w:rsidP="00756950">
      <w:pPr>
        <w:jc w:val="center"/>
        <w:rPr>
          <w:rFonts w:asciiTheme="minorBidi" w:hAnsiTheme="minorBidi" w:cstheme="minorBidi"/>
          <w:sz w:val="24"/>
          <w:rtl/>
        </w:rPr>
      </w:pPr>
      <w:r w:rsidRPr="00A54DD9">
        <w:rPr>
          <w:rFonts w:cs="Guttman Yad-Brush" w:hint="cs"/>
          <w:b/>
          <w:bCs/>
          <w:sz w:val="24"/>
          <w:rtl/>
        </w:rPr>
        <w:tab/>
      </w:r>
      <w:r w:rsidRPr="00A54DD9">
        <w:rPr>
          <w:rFonts w:cs="Guttman Yad-Brush" w:hint="cs"/>
          <w:b/>
          <w:bCs/>
          <w:sz w:val="24"/>
          <w:rtl/>
        </w:rPr>
        <w:tab/>
      </w:r>
      <w:r w:rsidRPr="00A54DD9">
        <w:rPr>
          <w:rFonts w:cs="Guttman Yad-Brush" w:hint="cs"/>
          <w:b/>
          <w:bCs/>
          <w:sz w:val="24"/>
          <w:rtl/>
        </w:rPr>
        <w:tab/>
      </w:r>
      <w:r w:rsidRPr="00A54DD9">
        <w:rPr>
          <w:rFonts w:cs="Guttman Yad-Brush" w:hint="cs"/>
          <w:b/>
          <w:bCs/>
          <w:sz w:val="24"/>
          <w:rtl/>
        </w:rPr>
        <w:tab/>
      </w:r>
      <w:r w:rsidR="00D53F57" w:rsidRPr="00A54DD9">
        <w:rPr>
          <w:rFonts w:hint="cs"/>
          <w:noProof/>
          <w:color w:val="0000FF"/>
          <w:sz w:val="24"/>
          <w:rtl/>
          <w:lang w:eastAsia="en-US"/>
        </w:rPr>
        <w:t xml:space="preserve">  </w:t>
      </w:r>
      <w:r w:rsidR="00D53F57" w:rsidRPr="00A54DD9">
        <w:rPr>
          <w:rFonts w:hint="cs"/>
          <w:noProof/>
          <w:color w:val="0000FF"/>
          <w:sz w:val="24"/>
          <w:rtl/>
          <w:lang w:eastAsia="en-US"/>
        </w:rPr>
        <w:tab/>
      </w:r>
      <w:r w:rsidR="00D53F57" w:rsidRPr="00A54DD9">
        <w:rPr>
          <w:rFonts w:hint="cs"/>
          <w:noProof/>
          <w:color w:val="0000FF"/>
          <w:sz w:val="24"/>
          <w:rtl/>
          <w:lang w:eastAsia="en-US"/>
        </w:rPr>
        <w:tab/>
      </w:r>
      <w:r w:rsidRPr="00A54DD9">
        <w:rPr>
          <w:rFonts w:cs="Guttman Yad-Brush" w:hint="cs"/>
          <w:b/>
          <w:bCs/>
          <w:sz w:val="24"/>
          <w:rtl/>
        </w:rPr>
        <w:tab/>
      </w:r>
      <w:r w:rsidRPr="00A54DD9">
        <w:rPr>
          <w:rFonts w:cs="Guttman Yad-Brush" w:hint="cs"/>
          <w:b/>
          <w:bCs/>
          <w:sz w:val="24"/>
          <w:rtl/>
        </w:rPr>
        <w:tab/>
      </w:r>
      <w:r w:rsidRPr="00A54DD9">
        <w:rPr>
          <w:rFonts w:cs="Guttman Yad-Brush" w:hint="cs"/>
          <w:sz w:val="24"/>
          <w:rtl/>
        </w:rPr>
        <w:t xml:space="preserve">         </w:t>
      </w:r>
      <w:r w:rsidR="006E4F8C" w:rsidRPr="00A54DD9">
        <w:rPr>
          <w:rFonts w:cs="Guttman Yad-Brush" w:hint="cs"/>
          <w:sz w:val="24"/>
          <w:rtl/>
        </w:rPr>
        <w:tab/>
      </w:r>
      <w:r w:rsidR="0060081A" w:rsidRPr="00A54DD9">
        <w:rPr>
          <w:rFonts w:cs="Guttman Yad-Brush" w:hint="cs"/>
          <w:sz w:val="24"/>
          <w:rtl/>
        </w:rPr>
        <w:t xml:space="preserve"> </w:t>
      </w:r>
      <w:r w:rsidR="0088393A" w:rsidRPr="00A54DD9">
        <w:rPr>
          <w:rFonts w:asciiTheme="minorBidi" w:hAnsiTheme="minorBidi" w:cstheme="minorBidi" w:hint="cs"/>
          <w:sz w:val="24"/>
          <w:rtl/>
        </w:rPr>
        <w:t xml:space="preserve">  </w:t>
      </w:r>
      <w:r w:rsidRPr="00A54DD9">
        <w:rPr>
          <w:rFonts w:asciiTheme="minorBidi" w:hAnsiTheme="minorBidi" w:cstheme="minorBidi"/>
          <w:sz w:val="24"/>
          <w:rtl/>
        </w:rPr>
        <w:t>אורי גלעד</w:t>
      </w:r>
    </w:p>
    <w:p w:rsidR="009D772B" w:rsidRPr="00A54DD9" w:rsidRDefault="00756950" w:rsidP="002063B8">
      <w:pPr>
        <w:jc w:val="center"/>
        <w:rPr>
          <w:sz w:val="24"/>
          <w:rtl/>
        </w:rPr>
      </w:pPr>
      <w:r w:rsidRPr="00A54DD9">
        <w:rPr>
          <w:rFonts w:cs="Guttman Yad-Brush" w:hint="cs"/>
          <w:sz w:val="24"/>
          <w:rtl/>
        </w:rPr>
        <w:tab/>
      </w:r>
      <w:r w:rsidRPr="00A54DD9">
        <w:rPr>
          <w:rFonts w:cs="Guttman Yad-Brush" w:hint="cs"/>
          <w:sz w:val="24"/>
          <w:rtl/>
        </w:rPr>
        <w:tab/>
      </w:r>
      <w:r w:rsidRPr="00A54DD9">
        <w:rPr>
          <w:rFonts w:cs="Guttman Yad-Brush" w:hint="cs"/>
          <w:sz w:val="24"/>
          <w:rtl/>
        </w:rPr>
        <w:tab/>
      </w:r>
      <w:r w:rsidRPr="00A54DD9">
        <w:rPr>
          <w:rFonts w:cs="Guttman Yad-Brush" w:hint="cs"/>
          <w:sz w:val="24"/>
          <w:rtl/>
        </w:rPr>
        <w:tab/>
      </w:r>
      <w:r w:rsidRPr="00A54DD9">
        <w:rPr>
          <w:rFonts w:asciiTheme="minorBidi" w:hAnsiTheme="minorBidi" w:cstheme="minorBidi"/>
          <w:sz w:val="24"/>
          <w:rtl/>
        </w:rPr>
        <w:t xml:space="preserve">                    </w:t>
      </w:r>
      <w:r w:rsidR="006E4F8C" w:rsidRPr="00A54DD9">
        <w:rPr>
          <w:rFonts w:asciiTheme="minorBidi" w:hAnsiTheme="minorBidi" w:cstheme="minorBidi" w:hint="cs"/>
          <w:sz w:val="24"/>
          <w:rtl/>
        </w:rPr>
        <w:t xml:space="preserve">        </w:t>
      </w:r>
      <w:r w:rsidR="006E4F8C" w:rsidRPr="00A54DD9">
        <w:rPr>
          <w:rFonts w:asciiTheme="minorBidi" w:hAnsiTheme="minorBidi" w:cstheme="minorBidi" w:hint="cs"/>
          <w:sz w:val="24"/>
          <w:rtl/>
        </w:rPr>
        <w:tab/>
      </w:r>
      <w:r w:rsidR="006E4F8C" w:rsidRPr="00A54DD9">
        <w:rPr>
          <w:rFonts w:asciiTheme="minorBidi" w:hAnsiTheme="minorBidi" w:cstheme="minorBidi" w:hint="cs"/>
          <w:sz w:val="24"/>
          <w:rtl/>
        </w:rPr>
        <w:tab/>
      </w:r>
      <w:r w:rsidR="006E4F8C" w:rsidRPr="00A54DD9">
        <w:rPr>
          <w:rFonts w:asciiTheme="minorBidi" w:hAnsiTheme="minorBidi" w:cstheme="minorBidi" w:hint="cs"/>
          <w:sz w:val="24"/>
          <w:rtl/>
        </w:rPr>
        <w:tab/>
      </w:r>
      <w:r w:rsidR="008D4D5A" w:rsidRPr="00A54DD9">
        <w:rPr>
          <w:rFonts w:asciiTheme="minorBidi" w:hAnsiTheme="minorBidi" w:cstheme="minorBidi" w:hint="cs"/>
          <w:sz w:val="24"/>
          <w:rtl/>
        </w:rPr>
        <w:tab/>
      </w:r>
      <w:r w:rsidR="0088393A" w:rsidRPr="00A54DD9">
        <w:rPr>
          <w:rFonts w:asciiTheme="minorBidi" w:hAnsiTheme="minorBidi" w:cstheme="minorBidi" w:hint="cs"/>
          <w:sz w:val="24"/>
          <w:rtl/>
        </w:rPr>
        <w:t xml:space="preserve">    </w:t>
      </w:r>
      <w:r w:rsidRPr="00A54DD9">
        <w:rPr>
          <w:rFonts w:asciiTheme="minorBidi" w:hAnsiTheme="minorBidi" w:cstheme="minorBidi"/>
          <w:sz w:val="24"/>
          <w:rtl/>
        </w:rPr>
        <w:t>מנכ"ל</w:t>
      </w: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5068F0" w:rsidRDefault="005068F0" w:rsidP="005B38FD">
      <w:pPr>
        <w:rPr>
          <w:sz w:val="12"/>
          <w:szCs w:val="12"/>
          <w:rtl/>
        </w:rPr>
      </w:pPr>
    </w:p>
    <w:p w:rsidR="00C46E85" w:rsidRPr="00F32A3C" w:rsidRDefault="003316A2" w:rsidP="00ED45A9">
      <w:pPr>
        <w:rPr>
          <w:sz w:val="12"/>
          <w:szCs w:val="12"/>
          <w:rtl/>
        </w:rPr>
      </w:pPr>
      <w:r w:rsidRPr="00F32A3C">
        <w:rPr>
          <w:rFonts w:hint="cs"/>
          <w:sz w:val="12"/>
          <w:szCs w:val="12"/>
          <w:rtl/>
        </w:rPr>
        <w:t>אורי-מזכירות/ידיעון/</w:t>
      </w:r>
      <w:r w:rsidR="00ED45A9">
        <w:rPr>
          <w:rFonts w:hint="cs"/>
          <w:sz w:val="12"/>
          <w:szCs w:val="12"/>
          <w:rtl/>
        </w:rPr>
        <w:t>2017</w:t>
      </w:r>
    </w:p>
    <w:p w:rsidR="00183890" w:rsidRPr="00F32A3C" w:rsidRDefault="00183890">
      <w:pPr>
        <w:rPr>
          <w:sz w:val="12"/>
          <w:szCs w:val="12"/>
        </w:rPr>
      </w:pPr>
    </w:p>
    <w:sectPr w:rsidR="00183890" w:rsidRPr="00F32A3C" w:rsidSect="0088393A">
      <w:pgSz w:w="11906" w:h="16838"/>
      <w:pgMar w:top="284" w:right="1276" w:bottom="28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5B"/>
    <w:multiLevelType w:val="hybridMultilevel"/>
    <w:tmpl w:val="4A561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1183A"/>
    <w:multiLevelType w:val="hybridMultilevel"/>
    <w:tmpl w:val="3FD8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687"/>
    <w:multiLevelType w:val="hybridMultilevel"/>
    <w:tmpl w:val="CC9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2AA"/>
    <w:multiLevelType w:val="hybridMultilevel"/>
    <w:tmpl w:val="83BC451C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F18"/>
    <w:multiLevelType w:val="hybridMultilevel"/>
    <w:tmpl w:val="11A8BFF8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5A6E7C55"/>
    <w:multiLevelType w:val="hybridMultilevel"/>
    <w:tmpl w:val="1B782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1288C"/>
    <w:multiLevelType w:val="hybridMultilevel"/>
    <w:tmpl w:val="36E4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464C0"/>
    <w:multiLevelType w:val="hybridMultilevel"/>
    <w:tmpl w:val="EEBEABF0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95C39"/>
    <w:multiLevelType w:val="hybridMultilevel"/>
    <w:tmpl w:val="91F6ED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71041F"/>
    <w:rsid w:val="00000AA7"/>
    <w:rsid w:val="00012BB6"/>
    <w:rsid w:val="00014C10"/>
    <w:rsid w:val="00017F05"/>
    <w:rsid w:val="00022887"/>
    <w:rsid w:val="00023219"/>
    <w:rsid w:val="0003477E"/>
    <w:rsid w:val="00045FA8"/>
    <w:rsid w:val="00047AC5"/>
    <w:rsid w:val="0007029C"/>
    <w:rsid w:val="00072CA6"/>
    <w:rsid w:val="00081C73"/>
    <w:rsid w:val="00084FE2"/>
    <w:rsid w:val="0009075B"/>
    <w:rsid w:val="00091776"/>
    <w:rsid w:val="00094656"/>
    <w:rsid w:val="00095BF4"/>
    <w:rsid w:val="000A3440"/>
    <w:rsid w:val="000A695C"/>
    <w:rsid w:val="000D1CD5"/>
    <w:rsid w:val="000D2727"/>
    <w:rsid w:val="000D2CF6"/>
    <w:rsid w:val="000E0755"/>
    <w:rsid w:val="000E3627"/>
    <w:rsid w:val="001021E8"/>
    <w:rsid w:val="00102BF8"/>
    <w:rsid w:val="001067B9"/>
    <w:rsid w:val="0010714B"/>
    <w:rsid w:val="001130FD"/>
    <w:rsid w:val="00117308"/>
    <w:rsid w:val="001230CD"/>
    <w:rsid w:val="00125EA9"/>
    <w:rsid w:val="00136A46"/>
    <w:rsid w:val="00146225"/>
    <w:rsid w:val="00147DCF"/>
    <w:rsid w:val="00154448"/>
    <w:rsid w:val="00156665"/>
    <w:rsid w:val="00164C64"/>
    <w:rsid w:val="00166BAB"/>
    <w:rsid w:val="0017475D"/>
    <w:rsid w:val="001803DB"/>
    <w:rsid w:val="001837ED"/>
    <w:rsid w:val="00183890"/>
    <w:rsid w:val="001845D3"/>
    <w:rsid w:val="001861CC"/>
    <w:rsid w:val="001867F6"/>
    <w:rsid w:val="001939B4"/>
    <w:rsid w:val="001A74B3"/>
    <w:rsid w:val="001A75F2"/>
    <w:rsid w:val="001B14FE"/>
    <w:rsid w:val="001C2763"/>
    <w:rsid w:val="001C2822"/>
    <w:rsid w:val="001C32B6"/>
    <w:rsid w:val="001C5645"/>
    <w:rsid w:val="001D2487"/>
    <w:rsid w:val="001D70E0"/>
    <w:rsid w:val="001E44C6"/>
    <w:rsid w:val="001E7621"/>
    <w:rsid w:val="001F2E74"/>
    <w:rsid w:val="00203EFA"/>
    <w:rsid w:val="002044FC"/>
    <w:rsid w:val="002063B8"/>
    <w:rsid w:val="00206DB9"/>
    <w:rsid w:val="00212CD6"/>
    <w:rsid w:val="00212ED1"/>
    <w:rsid w:val="002147F5"/>
    <w:rsid w:val="00223C2D"/>
    <w:rsid w:val="00242DDC"/>
    <w:rsid w:val="00247282"/>
    <w:rsid w:val="00250AA8"/>
    <w:rsid w:val="002552B8"/>
    <w:rsid w:val="002563D5"/>
    <w:rsid w:val="0027631A"/>
    <w:rsid w:val="002813CD"/>
    <w:rsid w:val="00285588"/>
    <w:rsid w:val="00286B7E"/>
    <w:rsid w:val="00291176"/>
    <w:rsid w:val="0029426A"/>
    <w:rsid w:val="002953E5"/>
    <w:rsid w:val="002A36B0"/>
    <w:rsid w:val="002A59C1"/>
    <w:rsid w:val="002B69A5"/>
    <w:rsid w:val="002C394A"/>
    <w:rsid w:val="002C7F10"/>
    <w:rsid w:val="002D2E52"/>
    <w:rsid w:val="002D5739"/>
    <w:rsid w:val="002E139B"/>
    <w:rsid w:val="002E309A"/>
    <w:rsid w:val="002E6864"/>
    <w:rsid w:val="002E7528"/>
    <w:rsid w:val="002F0C9B"/>
    <w:rsid w:val="002F7B5B"/>
    <w:rsid w:val="0030094E"/>
    <w:rsid w:val="0031476D"/>
    <w:rsid w:val="00316329"/>
    <w:rsid w:val="00320A0D"/>
    <w:rsid w:val="003316A2"/>
    <w:rsid w:val="00335FE6"/>
    <w:rsid w:val="00343B4E"/>
    <w:rsid w:val="00346869"/>
    <w:rsid w:val="003543F1"/>
    <w:rsid w:val="00357B5E"/>
    <w:rsid w:val="003622F5"/>
    <w:rsid w:val="0036319A"/>
    <w:rsid w:val="00365C84"/>
    <w:rsid w:val="0036765B"/>
    <w:rsid w:val="00370C34"/>
    <w:rsid w:val="00371D86"/>
    <w:rsid w:val="003728DA"/>
    <w:rsid w:val="003749F4"/>
    <w:rsid w:val="0038350B"/>
    <w:rsid w:val="003854D6"/>
    <w:rsid w:val="003905AD"/>
    <w:rsid w:val="0039218F"/>
    <w:rsid w:val="00393F8A"/>
    <w:rsid w:val="003950B3"/>
    <w:rsid w:val="003A07BD"/>
    <w:rsid w:val="003A645A"/>
    <w:rsid w:val="003B02A9"/>
    <w:rsid w:val="003C7579"/>
    <w:rsid w:val="003C7DF6"/>
    <w:rsid w:val="003D385D"/>
    <w:rsid w:val="003D3B7C"/>
    <w:rsid w:val="003E0844"/>
    <w:rsid w:val="003E79A7"/>
    <w:rsid w:val="004027C7"/>
    <w:rsid w:val="004065AE"/>
    <w:rsid w:val="004079DC"/>
    <w:rsid w:val="00432908"/>
    <w:rsid w:val="00434512"/>
    <w:rsid w:val="00437141"/>
    <w:rsid w:val="004410C8"/>
    <w:rsid w:val="0044199D"/>
    <w:rsid w:val="00453C07"/>
    <w:rsid w:val="0045696C"/>
    <w:rsid w:val="00464D4B"/>
    <w:rsid w:val="00472B93"/>
    <w:rsid w:val="00476D42"/>
    <w:rsid w:val="00494499"/>
    <w:rsid w:val="004A68AA"/>
    <w:rsid w:val="004A7BE4"/>
    <w:rsid w:val="004B3E70"/>
    <w:rsid w:val="004C02E0"/>
    <w:rsid w:val="004D084F"/>
    <w:rsid w:val="004E0B0B"/>
    <w:rsid w:val="004E42A6"/>
    <w:rsid w:val="004F0C8F"/>
    <w:rsid w:val="004F4D43"/>
    <w:rsid w:val="004F6B6F"/>
    <w:rsid w:val="005006C9"/>
    <w:rsid w:val="00500D32"/>
    <w:rsid w:val="00502CE4"/>
    <w:rsid w:val="00504AC8"/>
    <w:rsid w:val="00505A01"/>
    <w:rsid w:val="0050666E"/>
    <w:rsid w:val="005068F0"/>
    <w:rsid w:val="005079D4"/>
    <w:rsid w:val="00507F4D"/>
    <w:rsid w:val="005274E8"/>
    <w:rsid w:val="00533E19"/>
    <w:rsid w:val="00541642"/>
    <w:rsid w:val="00547AD2"/>
    <w:rsid w:val="00547F97"/>
    <w:rsid w:val="00571E34"/>
    <w:rsid w:val="00577F3F"/>
    <w:rsid w:val="0058212F"/>
    <w:rsid w:val="005823AD"/>
    <w:rsid w:val="005963D4"/>
    <w:rsid w:val="005A7489"/>
    <w:rsid w:val="005B38FD"/>
    <w:rsid w:val="005C0BA8"/>
    <w:rsid w:val="005C16BA"/>
    <w:rsid w:val="005C7B63"/>
    <w:rsid w:val="005D4D4E"/>
    <w:rsid w:val="005D798C"/>
    <w:rsid w:val="005E7AFC"/>
    <w:rsid w:val="005E7B4E"/>
    <w:rsid w:val="005F2CFD"/>
    <w:rsid w:val="0060081A"/>
    <w:rsid w:val="00601951"/>
    <w:rsid w:val="00612363"/>
    <w:rsid w:val="00612F98"/>
    <w:rsid w:val="0061373F"/>
    <w:rsid w:val="00614204"/>
    <w:rsid w:val="00633D7A"/>
    <w:rsid w:val="00635453"/>
    <w:rsid w:val="00635747"/>
    <w:rsid w:val="0064122F"/>
    <w:rsid w:val="006434EA"/>
    <w:rsid w:val="006512CC"/>
    <w:rsid w:val="00653F73"/>
    <w:rsid w:val="0065520F"/>
    <w:rsid w:val="00660F55"/>
    <w:rsid w:val="00663C8E"/>
    <w:rsid w:val="006641EA"/>
    <w:rsid w:val="00687F21"/>
    <w:rsid w:val="00692918"/>
    <w:rsid w:val="00692FCD"/>
    <w:rsid w:val="006A0306"/>
    <w:rsid w:val="006A7611"/>
    <w:rsid w:val="006B1D2F"/>
    <w:rsid w:val="006B54C3"/>
    <w:rsid w:val="006D06C8"/>
    <w:rsid w:val="006D2C5D"/>
    <w:rsid w:val="006D3A4A"/>
    <w:rsid w:val="006E0D0C"/>
    <w:rsid w:val="006E44BB"/>
    <w:rsid w:val="006E4F8C"/>
    <w:rsid w:val="006F683E"/>
    <w:rsid w:val="006F7B28"/>
    <w:rsid w:val="00704418"/>
    <w:rsid w:val="0071041F"/>
    <w:rsid w:val="0071093E"/>
    <w:rsid w:val="00715DB1"/>
    <w:rsid w:val="00727277"/>
    <w:rsid w:val="00730B39"/>
    <w:rsid w:val="00734673"/>
    <w:rsid w:val="0074005D"/>
    <w:rsid w:val="0074026F"/>
    <w:rsid w:val="00750B8C"/>
    <w:rsid w:val="00752D06"/>
    <w:rsid w:val="0075451C"/>
    <w:rsid w:val="00756950"/>
    <w:rsid w:val="007611A7"/>
    <w:rsid w:val="00764A02"/>
    <w:rsid w:val="00780957"/>
    <w:rsid w:val="00781DE8"/>
    <w:rsid w:val="007902C9"/>
    <w:rsid w:val="00795471"/>
    <w:rsid w:val="007A351F"/>
    <w:rsid w:val="007A79DF"/>
    <w:rsid w:val="007B3525"/>
    <w:rsid w:val="007E68C3"/>
    <w:rsid w:val="007E7288"/>
    <w:rsid w:val="007F3303"/>
    <w:rsid w:val="00813912"/>
    <w:rsid w:val="00821779"/>
    <w:rsid w:val="008253F1"/>
    <w:rsid w:val="00850671"/>
    <w:rsid w:val="00853930"/>
    <w:rsid w:val="00862A5B"/>
    <w:rsid w:val="00871DAF"/>
    <w:rsid w:val="00872FBF"/>
    <w:rsid w:val="008744FF"/>
    <w:rsid w:val="00876021"/>
    <w:rsid w:val="00876B3F"/>
    <w:rsid w:val="008777E4"/>
    <w:rsid w:val="0088393A"/>
    <w:rsid w:val="00891DB1"/>
    <w:rsid w:val="0089508A"/>
    <w:rsid w:val="00895F27"/>
    <w:rsid w:val="008A07C6"/>
    <w:rsid w:val="008A4FED"/>
    <w:rsid w:val="008B1631"/>
    <w:rsid w:val="008B24CF"/>
    <w:rsid w:val="008B4B54"/>
    <w:rsid w:val="008C036F"/>
    <w:rsid w:val="008C1696"/>
    <w:rsid w:val="008C4B71"/>
    <w:rsid w:val="008C62A9"/>
    <w:rsid w:val="008C649A"/>
    <w:rsid w:val="008C6BDE"/>
    <w:rsid w:val="008D4D5A"/>
    <w:rsid w:val="008E3679"/>
    <w:rsid w:val="008E40A6"/>
    <w:rsid w:val="008F0124"/>
    <w:rsid w:val="008F02EA"/>
    <w:rsid w:val="008F3251"/>
    <w:rsid w:val="008F49A2"/>
    <w:rsid w:val="00900628"/>
    <w:rsid w:val="00901858"/>
    <w:rsid w:val="00913991"/>
    <w:rsid w:val="009152EE"/>
    <w:rsid w:val="00947F87"/>
    <w:rsid w:val="009535D4"/>
    <w:rsid w:val="0095399B"/>
    <w:rsid w:val="0097587E"/>
    <w:rsid w:val="00983702"/>
    <w:rsid w:val="00985C82"/>
    <w:rsid w:val="00986C79"/>
    <w:rsid w:val="009953E8"/>
    <w:rsid w:val="009C7694"/>
    <w:rsid w:val="009D48AA"/>
    <w:rsid w:val="009D62C6"/>
    <w:rsid w:val="009D772B"/>
    <w:rsid w:val="009E4A42"/>
    <w:rsid w:val="009E4BDE"/>
    <w:rsid w:val="009E5493"/>
    <w:rsid w:val="009E6B50"/>
    <w:rsid w:val="009F10D2"/>
    <w:rsid w:val="00A03EEC"/>
    <w:rsid w:val="00A053A8"/>
    <w:rsid w:val="00A11FB7"/>
    <w:rsid w:val="00A1670F"/>
    <w:rsid w:val="00A218CC"/>
    <w:rsid w:val="00A246DD"/>
    <w:rsid w:val="00A2679C"/>
    <w:rsid w:val="00A426EC"/>
    <w:rsid w:val="00A427F1"/>
    <w:rsid w:val="00A446AD"/>
    <w:rsid w:val="00A54DD9"/>
    <w:rsid w:val="00A55A21"/>
    <w:rsid w:val="00A62894"/>
    <w:rsid w:val="00A64C47"/>
    <w:rsid w:val="00A67E81"/>
    <w:rsid w:val="00A73DC1"/>
    <w:rsid w:val="00A74D1B"/>
    <w:rsid w:val="00A80AA5"/>
    <w:rsid w:val="00A8352F"/>
    <w:rsid w:val="00A86B77"/>
    <w:rsid w:val="00A87B00"/>
    <w:rsid w:val="00A924BD"/>
    <w:rsid w:val="00A92D47"/>
    <w:rsid w:val="00A92DB1"/>
    <w:rsid w:val="00AA2CA6"/>
    <w:rsid w:val="00AB0056"/>
    <w:rsid w:val="00AB0FB9"/>
    <w:rsid w:val="00AB1788"/>
    <w:rsid w:val="00AB4230"/>
    <w:rsid w:val="00AB6682"/>
    <w:rsid w:val="00AD4B8B"/>
    <w:rsid w:val="00AD6776"/>
    <w:rsid w:val="00AE36A5"/>
    <w:rsid w:val="00AE415E"/>
    <w:rsid w:val="00AF4E96"/>
    <w:rsid w:val="00AF6D26"/>
    <w:rsid w:val="00B043B2"/>
    <w:rsid w:val="00B14EF7"/>
    <w:rsid w:val="00B24D94"/>
    <w:rsid w:val="00B31522"/>
    <w:rsid w:val="00B3359A"/>
    <w:rsid w:val="00B3529F"/>
    <w:rsid w:val="00B40C41"/>
    <w:rsid w:val="00B55BE8"/>
    <w:rsid w:val="00B63C11"/>
    <w:rsid w:val="00B63DB5"/>
    <w:rsid w:val="00B641A9"/>
    <w:rsid w:val="00B76A4C"/>
    <w:rsid w:val="00B8021E"/>
    <w:rsid w:val="00B8648B"/>
    <w:rsid w:val="00BB4E6C"/>
    <w:rsid w:val="00BC30DA"/>
    <w:rsid w:val="00BC5B8D"/>
    <w:rsid w:val="00BC7D01"/>
    <w:rsid w:val="00BD49C8"/>
    <w:rsid w:val="00BD4FEF"/>
    <w:rsid w:val="00BD6943"/>
    <w:rsid w:val="00BE486A"/>
    <w:rsid w:val="00BF68C8"/>
    <w:rsid w:val="00BF705F"/>
    <w:rsid w:val="00C0241C"/>
    <w:rsid w:val="00C0328A"/>
    <w:rsid w:val="00C0405B"/>
    <w:rsid w:val="00C076CA"/>
    <w:rsid w:val="00C1296E"/>
    <w:rsid w:val="00C46E85"/>
    <w:rsid w:val="00C508EA"/>
    <w:rsid w:val="00C5396A"/>
    <w:rsid w:val="00C5744B"/>
    <w:rsid w:val="00C651CC"/>
    <w:rsid w:val="00C72B48"/>
    <w:rsid w:val="00C777F0"/>
    <w:rsid w:val="00C8688F"/>
    <w:rsid w:val="00C874D4"/>
    <w:rsid w:val="00C87768"/>
    <w:rsid w:val="00C921D4"/>
    <w:rsid w:val="00C92F84"/>
    <w:rsid w:val="00C96463"/>
    <w:rsid w:val="00CA5C37"/>
    <w:rsid w:val="00CB0239"/>
    <w:rsid w:val="00CB4759"/>
    <w:rsid w:val="00CC5CE4"/>
    <w:rsid w:val="00CC63A8"/>
    <w:rsid w:val="00CD1D08"/>
    <w:rsid w:val="00CE3F14"/>
    <w:rsid w:val="00CE3F64"/>
    <w:rsid w:val="00CE5AEF"/>
    <w:rsid w:val="00CF1D30"/>
    <w:rsid w:val="00CF5BE6"/>
    <w:rsid w:val="00CF67B2"/>
    <w:rsid w:val="00D0103B"/>
    <w:rsid w:val="00D03B98"/>
    <w:rsid w:val="00D04CB5"/>
    <w:rsid w:val="00D057EE"/>
    <w:rsid w:val="00D07AF3"/>
    <w:rsid w:val="00D123C8"/>
    <w:rsid w:val="00D15C61"/>
    <w:rsid w:val="00D172D9"/>
    <w:rsid w:val="00D21D63"/>
    <w:rsid w:val="00D325D3"/>
    <w:rsid w:val="00D44B77"/>
    <w:rsid w:val="00D531F7"/>
    <w:rsid w:val="00D53F57"/>
    <w:rsid w:val="00D570E4"/>
    <w:rsid w:val="00D57878"/>
    <w:rsid w:val="00D63C19"/>
    <w:rsid w:val="00D63DCB"/>
    <w:rsid w:val="00D66368"/>
    <w:rsid w:val="00D676DD"/>
    <w:rsid w:val="00D76B6E"/>
    <w:rsid w:val="00D8429F"/>
    <w:rsid w:val="00D85BC9"/>
    <w:rsid w:val="00D87D4E"/>
    <w:rsid w:val="00DB4576"/>
    <w:rsid w:val="00DB5EE9"/>
    <w:rsid w:val="00DB6A87"/>
    <w:rsid w:val="00DD2CDD"/>
    <w:rsid w:val="00DD7B59"/>
    <w:rsid w:val="00DE5C09"/>
    <w:rsid w:val="00DF38B4"/>
    <w:rsid w:val="00DF7536"/>
    <w:rsid w:val="00E13708"/>
    <w:rsid w:val="00E25659"/>
    <w:rsid w:val="00E26B7B"/>
    <w:rsid w:val="00E3391B"/>
    <w:rsid w:val="00E3593B"/>
    <w:rsid w:val="00E46EDB"/>
    <w:rsid w:val="00E53816"/>
    <w:rsid w:val="00E56366"/>
    <w:rsid w:val="00E56A52"/>
    <w:rsid w:val="00E63F6C"/>
    <w:rsid w:val="00E64667"/>
    <w:rsid w:val="00E6486E"/>
    <w:rsid w:val="00E72E47"/>
    <w:rsid w:val="00E86CB0"/>
    <w:rsid w:val="00E93995"/>
    <w:rsid w:val="00E93E3E"/>
    <w:rsid w:val="00E9506B"/>
    <w:rsid w:val="00E9760E"/>
    <w:rsid w:val="00EA1B0D"/>
    <w:rsid w:val="00EA3667"/>
    <w:rsid w:val="00EC797D"/>
    <w:rsid w:val="00ED01ED"/>
    <w:rsid w:val="00ED1654"/>
    <w:rsid w:val="00ED45A9"/>
    <w:rsid w:val="00EE02B2"/>
    <w:rsid w:val="00F00363"/>
    <w:rsid w:val="00F021BC"/>
    <w:rsid w:val="00F136E5"/>
    <w:rsid w:val="00F24F33"/>
    <w:rsid w:val="00F32A3C"/>
    <w:rsid w:val="00F413EA"/>
    <w:rsid w:val="00F522AA"/>
    <w:rsid w:val="00F630D4"/>
    <w:rsid w:val="00F84A64"/>
    <w:rsid w:val="00F907B5"/>
    <w:rsid w:val="00F92EC7"/>
    <w:rsid w:val="00FA6E3A"/>
    <w:rsid w:val="00FB12E4"/>
    <w:rsid w:val="00FC201A"/>
    <w:rsid w:val="00FC5FE1"/>
    <w:rsid w:val="00FD690F"/>
    <w:rsid w:val="00FF113A"/>
    <w:rsid w:val="00FF555A"/>
    <w:rsid w:val="00FF5FBE"/>
    <w:rsid w:val="00FF6D40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table" w:styleId="a3">
    <w:name w:val="Table Grid"/>
    <w:basedOn w:val="a1"/>
    <w:uiPriority w:val="59"/>
    <w:rsid w:val="0071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212F"/>
    <w:rPr>
      <w:rFonts w:ascii="Tahoma" w:eastAsia="MS Mincho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212CD6"/>
    <w:pPr>
      <w:ind w:left="720"/>
    </w:pPr>
  </w:style>
  <w:style w:type="character" w:styleId="Hyperlink">
    <w:name w:val="Hyperlink"/>
    <w:basedOn w:val="a0"/>
    <w:uiPriority w:val="99"/>
    <w:semiHidden/>
    <w:unhideWhenUsed/>
    <w:rsid w:val="001130F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3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2D63-DCC5-4C75-BACF-7B9C34D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31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2017-02-09T08:08:00Z</cp:lastPrinted>
  <dcterms:created xsi:type="dcterms:W3CDTF">2017-02-09T07:54:00Z</dcterms:created>
  <dcterms:modified xsi:type="dcterms:W3CDTF">2017-02-09T08:18:00Z</dcterms:modified>
</cp:coreProperties>
</file>